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00" w:lineRule="auto"/>
        <w:ind w:firstLine="480" w:firstLineChars="200"/>
        <w:rPr>
          <w:rFonts w:hint="eastAsia" w:ascii="Tahoma" w:hAnsi="Tahoma" w:cs="Tahoma"/>
          <w:color w:val="000000"/>
          <w:sz w:val="24"/>
          <w:szCs w:val="24"/>
        </w:rPr>
      </w:pPr>
      <w:r>
        <w:rPr>
          <w:rFonts w:hint="eastAsia" w:ascii="Tahoma" w:hAnsi="Tahoma" w:cs="Tahoma"/>
          <w:color w:val="000000"/>
          <w:sz w:val="24"/>
          <w:szCs w:val="24"/>
        </w:rPr>
        <w:t>南昌航空大学</w:t>
      </w:r>
      <w:r>
        <w:rPr>
          <w:sz w:val="24"/>
          <w:szCs w:val="24"/>
        </w:rPr>
        <w:t>环境与化学工程学院是在原化学工程系（1978年4月创建）基础上更名组建而成。现有环境工程、应用化学、材料化学和给水排水科学与工程四个本科专业，其中环境工程专业为教育部卓越工程师教育培养计划试点专业、首批江西省高校特色专业和江西省品牌专业，应用化学专业为江西省高校特色专业。学院现有环境科学与工程一级学科硕士点、环境工程、环境科学、应用化学3个二级学科硕士点和环境工程、化学工程2个工程领域专业学位硕士点。</w:t>
      </w:r>
      <w:r>
        <w:rPr>
          <w:rFonts w:ascii="Tahoma" w:hAnsi="Tahoma" w:cs="Tahoma"/>
          <w:color w:val="000000"/>
          <w:sz w:val="24"/>
          <w:szCs w:val="24"/>
        </w:rPr>
        <w:t>环境科学与工程一级学科为江西省高校同领域内唯一的高水平学科，同时也是江西省高校示范性硕士点和江西省博士学位立项建设预测单位授权学科</w:t>
      </w:r>
      <w:bookmarkStart w:id="1" w:name="_GoBack"/>
      <w:bookmarkEnd w:id="1"/>
      <w:r>
        <w:rPr>
          <w:rFonts w:ascii="Tahoma" w:hAnsi="Tahoma" w:cs="Tahoma"/>
          <w:color w:val="000000"/>
          <w:sz w:val="24"/>
          <w:szCs w:val="24"/>
        </w:rPr>
        <w:t>建设点。环境工程二级学科连续获得江西省九五、十五、十一五重点学科，是江西省同学科领域内唯一的国防特色基础学科。同时拥有江西省持久性污染物控制与资源循环利用高水平及重点实验室，获批“环鄱阳湖流域污染物控制与资源化”江西省“2011协同创新中心”。</w:t>
      </w:r>
    </w:p>
    <w:p>
      <w:pPr>
        <w:spacing w:line="300" w:lineRule="auto"/>
        <w:ind w:firstLine="480" w:firstLineChars="200"/>
        <w:rPr>
          <w:rFonts w:ascii="Tahoma" w:hAnsi="Tahoma" w:cs="Tahoma"/>
          <w:color w:val="000000"/>
          <w:sz w:val="24"/>
          <w:szCs w:val="24"/>
        </w:rPr>
      </w:pPr>
      <w:r>
        <w:rPr>
          <w:rFonts w:ascii="Tahoma" w:hAnsi="Tahoma" w:cs="Tahoma"/>
          <w:color w:val="000000"/>
          <w:sz w:val="24"/>
          <w:szCs w:val="24"/>
        </w:rPr>
        <w:t xml:space="preserve"> </w:t>
      </w:r>
      <w:r>
        <w:rPr>
          <w:rFonts w:hint="eastAsia" w:ascii="Tahoma" w:hAnsi="Tahoma" w:cs="Tahoma"/>
          <w:color w:val="000000"/>
          <w:sz w:val="24"/>
          <w:szCs w:val="24"/>
        </w:rPr>
        <w:t>学院现有全日制在校本科生1200余人，研究生170余人，国际教育生80余人。学院现有</w:t>
      </w:r>
      <w:r>
        <w:rPr>
          <w:sz w:val="24"/>
          <w:szCs w:val="24"/>
        </w:rPr>
        <w:t>专任教师77名，其中高级职称教师比例达61%，博士学位教师比例达51%</w:t>
      </w:r>
      <w:r>
        <w:rPr>
          <w:rFonts w:hint="eastAsia"/>
          <w:sz w:val="24"/>
          <w:szCs w:val="24"/>
        </w:rPr>
        <w:t>，</w:t>
      </w:r>
      <w:r>
        <w:rPr>
          <w:rFonts w:hint="eastAsia" w:ascii="Tahoma" w:hAnsi="Tahoma" w:cs="Tahoma"/>
          <w:color w:val="000000"/>
          <w:sz w:val="24"/>
          <w:szCs w:val="24"/>
        </w:rPr>
        <w:t>博士导师</w:t>
      </w:r>
      <w:r>
        <w:rPr>
          <w:rFonts w:ascii="Tahoma" w:hAnsi="Tahoma" w:cs="Tahoma"/>
          <w:color w:val="000000"/>
          <w:sz w:val="24"/>
          <w:szCs w:val="24"/>
        </w:rPr>
        <w:t>5</w:t>
      </w:r>
      <w:r>
        <w:rPr>
          <w:rFonts w:hint="eastAsia" w:ascii="Tahoma" w:hAnsi="Tahoma" w:cs="Tahoma"/>
          <w:color w:val="000000"/>
          <w:sz w:val="24"/>
          <w:szCs w:val="24"/>
        </w:rPr>
        <w:t>人、硕士生导师48人，有</w:t>
      </w:r>
      <w:r>
        <w:rPr>
          <w:rFonts w:ascii="Tahoma" w:hAnsi="Tahoma" w:cs="Tahoma"/>
          <w:color w:val="000000"/>
          <w:sz w:val="24"/>
          <w:szCs w:val="24"/>
        </w:rPr>
        <w:t>12</w:t>
      </w:r>
      <w:r>
        <w:rPr>
          <w:rFonts w:hint="eastAsia" w:ascii="Tahoma" w:hAnsi="Tahoma" w:cs="Tahoma"/>
          <w:color w:val="000000"/>
          <w:sz w:val="24"/>
          <w:szCs w:val="24"/>
        </w:rPr>
        <w:t>人具有海外留学背景</w:t>
      </w:r>
      <w:r>
        <w:rPr>
          <w:sz w:val="24"/>
          <w:szCs w:val="24"/>
        </w:rPr>
        <w:t>。教师中享受国务院特殊津贴1人、省政府特殊津贴1人、国家杰出青年基金获得者1人、</w:t>
      </w:r>
      <w:r>
        <w:rPr>
          <w:rFonts w:hint="eastAsia" w:ascii="Tahoma" w:hAnsi="Tahoma" w:cs="Tahoma"/>
          <w:color w:val="000000"/>
          <w:sz w:val="24"/>
          <w:szCs w:val="24"/>
        </w:rPr>
        <w:t>外专千人1人、千人计划1人，青年千人1人，</w:t>
      </w:r>
      <w:r>
        <w:rPr>
          <w:sz w:val="24"/>
          <w:szCs w:val="24"/>
        </w:rPr>
        <w:t>国家优秀青年基金获得者1人、何梁何利科学与技术创新奖获得者1人，洪堡基金获得者2人、</w:t>
      </w:r>
      <w:r>
        <w:rPr>
          <w:rFonts w:hint="eastAsia" w:ascii="Tahoma" w:hAnsi="Tahoma" w:cs="Tahoma"/>
          <w:color w:val="000000"/>
          <w:sz w:val="24"/>
          <w:szCs w:val="24"/>
        </w:rPr>
        <w:t>国家百千万人才工程1人、</w:t>
      </w:r>
      <w:r>
        <w:rPr>
          <w:sz w:val="24"/>
          <w:szCs w:val="24"/>
        </w:rPr>
        <w:t>教育部新世纪优秀人才2人、井冈学者1人、</w:t>
      </w:r>
      <w:r>
        <w:rPr>
          <w:rFonts w:hint="eastAsia" w:ascii="Tahoma" w:hAnsi="Tahoma" w:cs="Tahoma"/>
          <w:color w:val="000000"/>
          <w:sz w:val="24"/>
          <w:szCs w:val="24"/>
        </w:rPr>
        <w:t>全国模范教师1人、柔性引进长江学者2人、</w:t>
      </w:r>
      <w:r>
        <w:rPr>
          <w:sz w:val="24"/>
          <w:szCs w:val="24"/>
        </w:rPr>
        <w:t>江西省“555”赣鄱英才人选5人、江西省“远航工程”资助对象5人，“江西青年五四奖章”获得者2人，江西省主要学科学术和技术带头人培养对象</w:t>
      </w:r>
      <w:r>
        <w:rPr>
          <w:rFonts w:hint="eastAsia"/>
          <w:sz w:val="24"/>
          <w:szCs w:val="24"/>
        </w:rPr>
        <w:t>2</w:t>
      </w:r>
      <w:r>
        <w:rPr>
          <w:sz w:val="24"/>
          <w:szCs w:val="24"/>
        </w:rPr>
        <w:t>人、江西省高校学科带头人4人、江西省百千万工程人才人选5人、江西省教学名师1人、全国模范教师1人、江西省优秀硕士生导师2人、江西省中青年骨干教师8人、江西省青年科学家（井冈之星）培养对象</w:t>
      </w:r>
      <w:r>
        <w:rPr>
          <w:rFonts w:hint="eastAsia"/>
          <w:sz w:val="24"/>
          <w:szCs w:val="24"/>
        </w:rPr>
        <w:t>7</w:t>
      </w:r>
      <w:r>
        <w:rPr>
          <w:sz w:val="24"/>
          <w:szCs w:val="24"/>
        </w:rPr>
        <w:t>人、学校雄鹰学者计划1人、青年英才计划1人</w:t>
      </w:r>
      <w:r>
        <w:rPr>
          <w:rFonts w:hint="eastAsia"/>
          <w:sz w:val="24"/>
          <w:szCs w:val="24"/>
        </w:rPr>
        <w:t>。</w:t>
      </w:r>
      <w:r>
        <w:rPr>
          <w:rFonts w:hint="eastAsia" w:ascii="Tahoma" w:hAnsi="Tahoma" w:cs="Tahoma"/>
          <w:color w:val="000000"/>
          <w:sz w:val="24"/>
          <w:szCs w:val="24"/>
        </w:rPr>
        <w:t>实现了江西省外专千人、青年千人和国家自然科学优秀青年基金的首次突破，入选了江西省科技厅科技创新团队和江西省委组织部首批人才工作示范点。实验室现有面积3160m2，仪器设备总值3200万元，大型仪器设备约100台（套）。</w:t>
      </w:r>
    </w:p>
    <w:p>
      <w:pPr>
        <w:spacing w:line="300" w:lineRule="auto"/>
        <w:rPr>
          <w:rFonts w:hint="eastAsia" w:ascii="Tahoma" w:hAnsi="Tahoma" w:cs="Tahoma"/>
          <w:color w:val="000000"/>
          <w:sz w:val="24"/>
          <w:szCs w:val="24"/>
        </w:rPr>
      </w:pPr>
      <w:bookmarkStart w:id="0" w:name="_Hlt355088125"/>
      <w:r>
        <w:rPr>
          <w:rFonts w:ascii="Tahoma" w:hAnsi="Tahoma" w:cs="Tahoma"/>
          <w:color w:val="000000"/>
          <w:sz w:val="24"/>
          <w:szCs w:val="24"/>
        </w:rPr>
        <w:t xml:space="preserve"> </w:t>
      </w:r>
      <w:bookmarkEnd w:id="0"/>
      <w:r>
        <w:rPr>
          <w:rFonts w:hint="eastAsia" w:ascii="Tahoma" w:hAnsi="Tahoma" w:cs="Tahoma"/>
          <w:color w:val="000000"/>
          <w:sz w:val="24"/>
          <w:szCs w:val="24"/>
        </w:rPr>
        <w:t xml:space="preserve">   近五年承担了国家自然科学基金重点项目1项，国家自然科学基金重点项目子项目1项、国家杰出青年科学基金1项，国家优秀青年科学基金1项，科技部国际合作项目1项，国家863重点技术子课题3项，863前期研究专项1项、863前沿探索项目1项，国家科技支撑计划重大项目子课题2项，国家自然科学基金面上项目9项，国家自然科学基金地区和青年基金项42项，国防基础研究项目1项，江西省重大科技专项2项、江西省教育厅落地计划等省部级科研项目80余项，科研经费近4000万元。实验室在Nature Communications, Environmental Science &amp; Technology, Water Research, Advanced Materials, Advanced Functional Materials等国际著名刊物上发表SCI论文 370篇，获授权发明专利83项，出版学术专著和教材15部。在本实验室曾获国家科学进步二等奖3项、国家技术发明二等奖1项、何梁何利基金科学与技术创新奖1项、教育部科技进步一等奖1项、省自然科学一等奖1项，省科技进步一等奖1项、省自然科学二等奖2项、省自然科学三等奖1项、省科技进步三等奖5项，中国产学研合作创新奖1项，国际性学术奖励Prof. Joseph Wang Awards1项，中国有色金属工业科学技术奖一等奖1项等省部级奖励15项。</w:t>
      </w:r>
    </w:p>
    <w:p>
      <w:pPr>
        <w:spacing w:line="300" w:lineRule="auto"/>
        <w:rPr>
          <w:rFonts w:hint="eastAsia" w:ascii="Tahoma" w:hAnsi="Tahoma" w:cs="Tahoma"/>
          <w:color w:val="000000"/>
          <w:sz w:val="24"/>
          <w:szCs w:val="24"/>
        </w:rPr>
      </w:pPr>
      <w:r>
        <w:rPr>
          <w:rFonts w:hint="eastAsia" w:ascii="Tahoma" w:hAnsi="Tahoma" w:cs="Tahoma"/>
          <w:color w:val="000000"/>
          <w:sz w:val="24"/>
          <w:szCs w:val="24"/>
        </w:rPr>
        <w:t xml:space="preserve">    学院十分重视国内外交流与合作，曾举办中国环境工程学科发展论坛暨中国首届环境工程学科杰青论坛和国家863计划水处理前沿技术发展战略专题研讨会。与美国加州理工学院、美国佐治亚理工学院、美国北卡州立大学、辛辛那提大学、代顿大学；澳大利亚悉尼大学和麦考瑞大学；英国曼彻斯特大学，德国基尔大学，加拿大北英属哥伦比亚大学，捷克Masaryk大学，日本仙台东北大学，新加坡国立大学，香港科技大学，清华大学，北京大学，哈尔滨工业大学、同济大学，湖南大学，中国科学院生态与环境研究中心，中国科学院广州地球化学研究所，中国科学院沈阳应用生态研究所等均有良好的学术联系和技术合作。</w:t>
      </w:r>
    </w:p>
    <w:p>
      <w:pPr>
        <w:spacing w:line="300" w:lineRule="auto"/>
        <w:rPr>
          <w:rFonts w:hint="eastAsia"/>
          <w:b/>
          <w:sz w:val="24"/>
          <w:szCs w:val="24"/>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imes">
    <w:altName w:val="Times New Roman"/>
    <w:panose1 w:val="02020603050405020304"/>
    <w:charset w:val="00"/>
    <w:family w:val="modern"/>
    <w:pitch w:val="default"/>
    <w:sig w:usb0="00000000" w:usb1="00000000" w:usb2="00000009" w:usb3="00000000" w:csb0="000001FF" w:csb1="00000000"/>
  </w:font>
  <w:font w:name="黑体">
    <w:panose1 w:val="02010609060101010101"/>
    <w:charset w:val="86"/>
    <w:family w:val="swiss"/>
    <w:pitch w:val="default"/>
    <w:sig w:usb0="800002BF" w:usb1="38CF7CFA" w:usb2="00000016"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Arial">
    <w:panose1 w:val="020B0604020202020204"/>
    <w:charset w:val="00"/>
    <w:family w:val="decorative"/>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D4131"/>
    <w:rsid w:val="3A8D41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cs="Times"/>
      <w:kern w:val="2"/>
      <w:sz w:val="17"/>
      <w:szCs w:val="17"/>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2016-03-02T07:32:00Z</dcterms:created>
  <dc:creator>admin</dc:creator>
  <cp:lastModifiedBy>admin</cp:lastModifiedBy>
  <dcterms:modified xsi:type="dcterms:W3CDTF">2016-03-02T07:34:29Z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