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19" w:rsidRDefault="00DE7019" w:rsidP="00DE7019">
      <w:pPr>
        <w:widowControl/>
        <w:spacing w:after="100" w:afterAutospacing="1" w:line="360" w:lineRule="auto"/>
        <w:jc w:val="center"/>
        <w:rPr>
          <w:rFonts w:hint="eastAsia"/>
          <w:b/>
          <w:bCs/>
          <w:color w:val="000000"/>
          <w:sz w:val="28"/>
          <w:szCs w:val="28"/>
        </w:rPr>
      </w:pPr>
      <w:r>
        <w:rPr>
          <w:rFonts w:hint="eastAsia"/>
          <w:b/>
          <w:bCs/>
          <w:color w:val="000000"/>
          <w:sz w:val="28"/>
          <w:szCs w:val="28"/>
        </w:rPr>
        <w:t>天津外国语大学国际商学院</w:t>
      </w:r>
    </w:p>
    <w:p w:rsidR="00DE7019" w:rsidRDefault="00DE7019" w:rsidP="00DE7019">
      <w:pPr>
        <w:widowControl/>
        <w:spacing w:after="100" w:afterAutospacing="1" w:line="360" w:lineRule="auto"/>
        <w:jc w:val="center"/>
        <w:rPr>
          <w:rFonts w:ascii="宋体" w:hAnsi="宋体" w:cs="宋体" w:hint="eastAsia"/>
          <w:color w:val="000000"/>
          <w:kern w:val="0"/>
          <w:sz w:val="28"/>
          <w:szCs w:val="28"/>
        </w:rPr>
      </w:pPr>
      <w:bookmarkStart w:id="0" w:name="_GoBack"/>
      <w:r>
        <w:rPr>
          <w:rFonts w:hint="eastAsia"/>
          <w:b/>
          <w:bCs/>
          <w:color w:val="000000"/>
          <w:sz w:val="28"/>
          <w:szCs w:val="28"/>
        </w:rPr>
        <w:t>2016</w:t>
      </w:r>
      <w:r>
        <w:rPr>
          <w:rFonts w:hint="eastAsia"/>
          <w:b/>
          <w:bCs/>
          <w:color w:val="000000"/>
          <w:sz w:val="28"/>
          <w:szCs w:val="28"/>
        </w:rPr>
        <w:t>年硕士研究生招生复试工作实施细则</w:t>
      </w:r>
      <w:bookmarkEnd w:id="0"/>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复试工作是研究生招生工作的重要组成部分，是人才选拔的关键环节，为进一步加强国际商学院硕士研究生招生复试工作的组织管理，严明招生纪律，规范复试程序，保证人才选拔质量，确保录取公平公正。根据教育部关于印发《2016年全国硕士研究生招生管理工作规定》的通知（</w:t>
      </w:r>
      <w:r>
        <w:rPr>
          <w:rFonts w:ascii="宋体" w:hAnsi="宋体" w:cs="宋体" w:hint="eastAsia"/>
          <w:kern w:val="0"/>
          <w:szCs w:val="21"/>
        </w:rPr>
        <w:t>教学[2015]9号</w:t>
      </w:r>
      <w:r>
        <w:rPr>
          <w:rFonts w:ascii="宋体" w:hAnsi="宋体" w:cs="宋体" w:hint="eastAsia"/>
          <w:color w:val="000000"/>
          <w:kern w:val="0"/>
          <w:szCs w:val="21"/>
        </w:rPr>
        <w:t>）和2016年全国硕士研究生招生录取工作会议精神，以及2016年天津市硕士研究生招生录取工作实施办法（津招办高发【2016】6号）、天津外国语大学2016年硕士研究生招生复试工作实施细则的相关要求，结合本学院专业特色，特制定本实施细则。</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 xml:space="preserve">    </w:t>
      </w:r>
      <w:proofErr w:type="gramStart"/>
      <w:r>
        <w:rPr>
          <w:rFonts w:ascii="宋体" w:hAnsi="宋体" w:cs="宋体" w:hint="eastAsia"/>
          <w:b/>
          <w:bCs/>
          <w:color w:val="000000"/>
          <w:kern w:val="0"/>
          <w:szCs w:val="21"/>
        </w:rPr>
        <w:t>一</w:t>
      </w:r>
      <w:proofErr w:type="gramEnd"/>
      <w:r>
        <w:rPr>
          <w:rFonts w:ascii="宋体" w:hAnsi="宋体" w:cs="宋体" w:hint="eastAsia"/>
          <w:b/>
          <w:bCs/>
          <w:color w:val="000000"/>
          <w:kern w:val="0"/>
          <w:szCs w:val="21"/>
        </w:rPr>
        <w:t>．组织形式</w:t>
      </w:r>
      <w:r>
        <w:rPr>
          <w:rFonts w:ascii="宋体" w:hAnsi="宋体" w:cs="宋体" w:hint="eastAsia"/>
          <w:color w:val="000000"/>
          <w:kern w:val="0"/>
          <w:szCs w:val="21"/>
        </w:rPr>
        <w:t xml:space="preserve">    </w:t>
      </w:r>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 xml:space="preserve"> 学院成立研究生招生录取工作领导小组，负责本学院2016年硕士研究生招生复试、录取工作。坚持集体议事，集体决策。</w:t>
      </w:r>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 xml:space="preserve"> </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 xml:space="preserve">    二.工作原则</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1. 坚持科学选拔。积极探索并遵循高层次专业人才培养规律，采用多样化的考查方式方法，确保生源质量。</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2. 坚持公平公正。做到政策透明、程序严谨、结果公开，健全监督机制，维护考生的合法权益和研究生复试录取的严肃性。</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3. 坚持全面考查。着力加强对考生创新精神和能力、专业兴趣和素养的考查，既重视初试成绩，也重视既往学业表现和潜在能力素质。 </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color w:val="000000"/>
          <w:kern w:val="0"/>
          <w:szCs w:val="21"/>
        </w:rPr>
        <w:t xml:space="preserve">    4. 坚持择优录取。加大复试考核力度，根据上级文件要求并结合本校专业特点和生源情况，实行差额复试</w:t>
      </w:r>
      <w:r>
        <w:rPr>
          <w:rFonts w:ascii="宋体" w:hAnsi="宋体" w:cs="宋体" w:hint="eastAsia"/>
          <w:kern w:val="0"/>
          <w:szCs w:val="21"/>
        </w:rPr>
        <w:t>。</w:t>
      </w:r>
    </w:p>
    <w:p w:rsidR="00DE7019" w:rsidRDefault="00DE7019" w:rsidP="00DE7019">
      <w:pPr>
        <w:spacing w:line="520" w:lineRule="exact"/>
        <w:rPr>
          <w:szCs w:val="21"/>
        </w:rPr>
      </w:pPr>
      <w:r>
        <w:rPr>
          <w:rFonts w:ascii="宋体" w:hAnsi="宋体" w:cs="宋体" w:hint="eastAsia"/>
          <w:color w:val="000000"/>
          <w:kern w:val="0"/>
          <w:szCs w:val="21"/>
        </w:rPr>
        <w:t xml:space="preserve">   </w:t>
      </w:r>
      <w:r>
        <w:rPr>
          <w:rFonts w:ascii="宋体" w:hAnsi="宋体" w:cs="宋体" w:hint="eastAsia"/>
          <w:kern w:val="0"/>
          <w:szCs w:val="21"/>
        </w:rPr>
        <w:t xml:space="preserve"> 5.</w:t>
      </w:r>
      <w:r>
        <w:rPr>
          <w:rFonts w:hint="eastAsia"/>
          <w:szCs w:val="21"/>
        </w:rPr>
        <w:t xml:space="preserve"> </w:t>
      </w:r>
      <w:r>
        <w:rPr>
          <w:rFonts w:ascii="宋体" w:hAnsi="宋体" w:cs="宋体" w:hint="eastAsia"/>
          <w:kern w:val="0"/>
          <w:szCs w:val="21"/>
        </w:rPr>
        <w:t>根据各学科、专业复试、录取的实际情况，可组织二次复试，</w:t>
      </w:r>
      <w:r>
        <w:rPr>
          <w:rFonts w:hint="eastAsia"/>
          <w:szCs w:val="21"/>
        </w:rPr>
        <w:t>二次</w:t>
      </w:r>
      <w:proofErr w:type="gramStart"/>
      <w:r>
        <w:rPr>
          <w:rFonts w:hint="eastAsia"/>
          <w:szCs w:val="21"/>
        </w:rPr>
        <w:t>复试仅</w:t>
      </w:r>
      <w:proofErr w:type="gramEnd"/>
      <w:r>
        <w:rPr>
          <w:rFonts w:hint="eastAsia"/>
          <w:szCs w:val="21"/>
        </w:rPr>
        <w:t>限于第一次调剂复试后未满足录取人数的。各专业复试需经</w:t>
      </w:r>
      <w:r>
        <w:rPr>
          <w:rFonts w:ascii="宋体" w:hAnsi="宋体" w:cs="宋体" w:hint="eastAsia"/>
          <w:kern w:val="0"/>
          <w:szCs w:val="21"/>
        </w:rPr>
        <w:t>研究生院审批后进行</w:t>
      </w:r>
      <w:r>
        <w:rPr>
          <w:rFonts w:ascii="宋体" w:hAnsi="宋体" w:hint="eastAsia"/>
          <w:szCs w:val="21"/>
        </w:rPr>
        <w:t xml:space="preserve"> 。</w:t>
      </w:r>
    </w:p>
    <w:p w:rsidR="00DE7019" w:rsidRDefault="00DE7019" w:rsidP="00DE7019">
      <w:pPr>
        <w:widowControl/>
        <w:spacing w:line="360" w:lineRule="auto"/>
        <w:jc w:val="left"/>
        <w:rPr>
          <w:rFonts w:ascii="宋体" w:hAnsi="宋体" w:cs="宋体" w:hint="eastAsia"/>
          <w:b/>
          <w:color w:val="000000"/>
          <w:kern w:val="0"/>
          <w:szCs w:val="21"/>
        </w:rPr>
      </w:pPr>
      <w:r>
        <w:rPr>
          <w:rFonts w:ascii="宋体" w:hAnsi="宋体" w:cs="宋体" w:hint="eastAsia"/>
          <w:b/>
          <w:color w:val="000000"/>
          <w:kern w:val="0"/>
          <w:szCs w:val="21"/>
        </w:rPr>
        <w:t xml:space="preserve">    三．复试工作安排</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 xml:space="preserve">   （一）复试时间</w:t>
      </w:r>
    </w:p>
    <w:p w:rsidR="00DE7019" w:rsidRDefault="00DE7019" w:rsidP="00DE7019">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2016年3月19日报到、复试。</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lastRenderedPageBreak/>
        <w:t xml:space="preserve">   （二）复试对象</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1．第一志愿报考我院、达到国家规定分数线并在国际商学院差额复试比例范围之内的考生。</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2．达到国家规定分数线并符合我学院要求的调剂生。</w:t>
      </w:r>
    </w:p>
    <w:p w:rsidR="00DE7019" w:rsidRDefault="00DE7019" w:rsidP="00DE7019">
      <w:pPr>
        <w:widowControl/>
        <w:spacing w:line="360" w:lineRule="auto"/>
        <w:jc w:val="left"/>
        <w:rPr>
          <w:rFonts w:ascii="宋体" w:hAnsi="宋体" w:cs="宋体" w:hint="eastAsia"/>
          <w:b/>
          <w:color w:val="000000"/>
          <w:kern w:val="0"/>
          <w:szCs w:val="21"/>
        </w:rPr>
      </w:pPr>
      <w:r>
        <w:rPr>
          <w:rFonts w:ascii="宋体" w:hAnsi="宋体" w:cs="宋体" w:hint="eastAsia"/>
          <w:b/>
          <w:color w:val="000000"/>
          <w:kern w:val="0"/>
          <w:szCs w:val="21"/>
        </w:rPr>
        <w:t xml:space="preserve">   （三）复试资格审查</w:t>
      </w:r>
    </w:p>
    <w:p w:rsidR="00DE7019" w:rsidRDefault="00DE7019" w:rsidP="00DE7019">
      <w:pPr>
        <w:pStyle w:val="a5"/>
        <w:spacing w:after="0" w:afterAutospacing="0" w:line="360" w:lineRule="auto"/>
        <w:ind w:firstLineChars="200" w:firstLine="420"/>
        <w:rPr>
          <w:rFonts w:hint="eastAsia"/>
          <w:bCs/>
          <w:color w:val="000000"/>
          <w:sz w:val="21"/>
          <w:szCs w:val="21"/>
        </w:rPr>
      </w:pPr>
      <w:r>
        <w:rPr>
          <w:rFonts w:hint="eastAsia"/>
          <w:sz w:val="21"/>
          <w:szCs w:val="21"/>
        </w:rPr>
        <w:t>校</w:t>
      </w:r>
      <w:proofErr w:type="gramStart"/>
      <w:r>
        <w:rPr>
          <w:rFonts w:hint="eastAsia"/>
          <w:sz w:val="21"/>
          <w:szCs w:val="21"/>
        </w:rPr>
        <w:t>研</w:t>
      </w:r>
      <w:proofErr w:type="gramEnd"/>
      <w:r>
        <w:rPr>
          <w:rFonts w:hint="eastAsia"/>
          <w:sz w:val="21"/>
          <w:szCs w:val="21"/>
        </w:rPr>
        <w:t>招办复试前对考生的报考信息及学历信息进行资格审查，对于网上报名时填写的学历证书信息经教育部初审后有疑问的考生，请在3月底提交学历证书认证报告（境内学历在教育部学信中心网站申请认证，境外学历尚无认证报告的，在教育部留学服务中心国外学历学位认证系统网站申请认证）。考生不能按时提交学历证书认证报告或者提交虚假认证报告所造成不能录取的后果，由考生本人承担。</w:t>
      </w:r>
      <w:r>
        <w:rPr>
          <w:sz w:val="21"/>
          <w:szCs w:val="21"/>
        </w:rPr>
        <w:br/>
      </w:r>
      <w:r>
        <w:rPr>
          <w:rFonts w:hint="eastAsia"/>
          <w:sz w:val="21"/>
          <w:szCs w:val="21"/>
        </w:rPr>
        <w:t xml:space="preserve">    复试报到时请考生务必携带：（1）本人有效身份证件原件；（2）本科毕业证书（应届生带学生证）原件及复印件；（3）本科学习阶段成绩单原件（应届生加盖教务处章、往届生加盖档案所在部门公章）；（4）发表论文复印件（同等学力考生）；（5）学籍学历核查有问题考生的学历电子注册备案表（应届生的学籍在线验证报告）或教育部学历认证报告；（6）1张一寸彩色免冠照片；（7）研究生复试考</w:t>
      </w:r>
      <w:proofErr w:type="gramStart"/>
      <w:r>
        <w:rPr>
          <w:rFonts w:hint="eastAsia"/>
          <w:sz w:val="21"/>
          <w:szCs w:val="21"/>
        </w:rPr>
        <w:t>务</w:t>
      </w:r>
      <w:proofErr w:type="gramEnd"/>
      <w:r>
        <w:rPr>
          <w:rFonts w:hint="eastAsia"/>
          <w:sz w:val="21"/>
          <w:szCs w:val="21"/>
        </w:rPr>
        <w:t>费用90元。</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 xml:space="preserve">    （四）复试方式与内容</w:t>
      </w:r>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 xml:space="preserve">根据我校学科专业的特点，确定复试考核方式如下： </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b/>
          <w:bCs/>
          <w:color w:val="000000"/>
          <w:kern w:val="0"/>
          <w:szCs w:val="21"/>
        </w:rPr>
        <w:t xml:space="preserve">     世界经济、西方经济学、政治经济学、人口资源与环境经济学、管理科学与工程、国际商务专业硕士。</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1. 专业笔试：主要考查考生基础理论、实务技能、科研能力、创新能力以及运用专业知识分析问题与解决问题的能力，占复试总成绩的50%。</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2．专业面试：每人10-20分钟，主要考查考生掌握专业知识的广度、深度，逻辑思维和表达能力，了解考生的专业素养及培养潜质，占复试总成绩的50%。</w:t>
      </w:r>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3. 外语听力（30分钟）：满分为100分，作为参考成绩。</w:t>
      </w:r>
    </w:p>
    <w:p w:rsidR="00DE7019" w:rsidRDefault="00DE7019" w:rsidP="00DE7019">
      <w:pPr>
        <w:widowControl/>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4、调剂我校国际商务专业的考生初试科目为经济类联考综合能力需加试数学，数学成绩必须达到68分以上方可录取，数学成绩不计入总成绩。</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b/>
          <w:bCs/>
          <w:kern w:val="0"/>
          <w:szCs w:val="21"/>
        </w:rPr>
        <w:t xml:space="preserve">    四.调剂复试</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按照“统筹兼顾、合理调节、积极引导、以人为本”的原则，做好调剂工作。</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（一）对调剂考生的要求</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1、须符合招生简章中规定的调入专业的报考条件。</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lastRenderedPageBreak/>
        <w:t xml:space="preserve">    2、初试成绩符合第一志愿报考专业在调入地区的初试成绩基本要求。</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3、调入专业与第一志愿报考专业相同或相近。</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4、考生初试科目应与调入专业初试科目相同或相近，其中统考科目原则上应相同。</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（二）</w:t>
      </w:r>
      <w:r>
        <w:rPr>
          <w:rFonts w:ascii="宋体" w:hAnsi="宋体" w:cs="宋体" w:hint="eastAsia"/>
          <w:b/>
          <w:bCs/>
          <w:kern w:val="0"/>
          <w:szCs w:val="21"/>
        </w:rPr>
        <w:t>调剂工作要求</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1、本学院接收所有调剂考生（含校外调剂、校内调剂）必须通过教育部指定的“全国硕士生招生调剂服务系统”进行，未通过该系统调剂录取的考生一律无效。</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2、考生调出工作由研究生招生办公室统一办理相关手续。</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b/>
          <w:bCs/>
          <w:kern w:val="0"/>
          <w:szCs w:val="21"/>
        </w:rPr>
        <w:t xml:space="preserve">    五.录取原则</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（一）招生规模</w:t>
      </w:r>
    </w:p>
    <w:p w:rsidR="00DE7019" w:rsidRDefault="00DE7019" w:rsidP="00DE7019">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各学科、专业应严格按照学校下达给各专业的2016年硕士生招生规模进行录取。学校可在该招生规模范围内，根据具体情况安排调节各学科、专业的招生数量（学术型招生计划可调整用于专业学位招生，但专业学位招生计划不可用于学术型招生）。</w:t>
      </w:r>
    </w:p>
    <w:p w:rsidR="00DE7019" w:rsidRDefault="00DE7019" w:rsidP="00DE7019">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另有5名退役大学生士兵计划分数线为：</w:t>
      </w:r>
    </w:p>
    <w:p w:rsidR="00DE7019" w:rsidRDefault="00DE7019" w:rsidP="00DE7019">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经济、国际商务：总分225分                管理学：总分235分</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（二）录取规则</w:t>
      </w:r>
    </w:p>
    <w:p w:rsidR="00DE7019" w:rsidRDefault="00DE7019" w:rsidP="00DE7019">
      <w:pPr>
        <w:widowControl/>
        <w:spacing w:line="360" w:lineRule="auto"/>
        <w:jc w:val="left"/>
        <w:rPr>
          <w:rFonts w:ascii="宋体" w:hAnsi="宋体" w:cs="宋体" w:hint="eastAsia"/>
          <w:color w:val="000000"/>
          <w:kern w:val="0"/>
          <w:szCs w:val="21"/>
        </w:rPr>
      </w:pPr>
      <w:r>
        <w:rPr>
          <w:rFonts w:ascii="宋体" w:hAnsi="宋体" w:cs="宋体" w:hint="eastAsia"/>
          <w:color w:val="000000"/>
          <w:kern w:val="0"/>
          <w:szCs w:val="21"/>
        </w:rPr>
        <w:t xml:space="preserve">    录取成绩：初试成绩÷5×40% + 复试成绩×60%排序，从高分到低分依次录取。</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（三）如有以下情况之一的考生，不予录取或取消录取资格：</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（1）复试</w:t>
      </w:r>
      <w:r>
        <w:rPr>
          <w:rFonts w:ascii="宋体" w:hAnsi="宋体" w:cs="宋体" w:hint="eastAsia"/>
          <w:color w:val="000000"/>
          <w:kern w:val="0"/>
          <w:szCs w:val="21"/>
        </w:rPr>
        <w:t>为复试各环节考核成绩之和，</w:t>
      </w:r>
      <w:r>
        <w:rPr>
          <w:rFonts w:ascii="宋体" w:hAnsi="宋体" w:cs="宋体" w:hint="eastAsia"/>
          <w:kern w:val="0"/>
          <w:szCs w:val="21"/>
        </w:rPr>
        <w:t>成绩不合格（低于60分）。</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（2）政审不合格。</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（3）未按时提交人事档案或毕业证书等需提供的材料。</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kern w:val="0"/>
          <w:szCs w:val="21"/>
        </w:rPr>
        <w:t xml:space="preserve">    （4）提供虚假信息。</w:t>
      </w:r>
    </w:p>
    <w:p w:rsidR="00DE7019" w:rsidRDefault="00DE7019" w:rsidP="00DE7019">
      <w:pPr>
        <w:pStyle w:val="a5"/>
        <w:spacing w:after="0" w:afterAutospacing="0" w:line="360" w:lineRule="auto"/>
        <w:rPr>
          <w:rFonts w:hint="eastAsia"/>
          <w:sz w:val="21"/>
          <w:szCs w:val="21"/>
        </w:rPr>
      </w:pPr>
      <w:r>
        <w:rPr>
          <w:rFonts w:hint="eastAsia"/>
          <w:sz w:val="21"/>
          <w:szCs w:val="21"/>
        </w:rPr>
        <w:t xml:space="preserve">    （5）凡未通过教育部资格审查的考生。</w:t>
      </w:r>
    </w:p>
    <w:p w:rsidR="00DE7019" w:rsidRDefault="00DE7019" w:rsidP="00DE7019">
      <w:pPr>
        <w:widowControl/>
        <w:spacing w:line="360" w:lineRule="auto"/>
        <w:jc w:val="left"/>
        <w:rPr>
          <w:rFonts w:ascii="宋体" w:hAnsi="宋体" w:cs="宋体" w:hint="eastAsia"/>
          <w:kern w:val="0"/>
          <w:szCs w:val="21"/>
        </w:rPr>
      </w:pPr>
      <w:r>
        <w:rPr>
          <w:rFonts w:ascii="宋体" w:hAnsi="宋体" w:cs="宋体" w:hint="eastAsia"/>
          <w:b/>
          <w:bCs/>
          <w:kern w:val="0"/>
          <w:szCs w:val="21"/>
        </w:rPr>
        <w:t xml:space="preserve">    六.复试、录取信息的公示及公开</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（一）复试过程公示。</w:t>
      </w:r>
    </w:p>
    <w:p w:rsidR="00DE7019" w:rsidRDefault="00DE7019" w:rsidP="00DE7019">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研究生院网站上开辟专栏，向社会公布复试工作实施细则，各学科、专业招生人数，参加复试考生名单（包括考生姓名、考生编号、初试各科成绩等信息）</w:t>
      </w:r>
    </w:p>
    <w:p w:rsidR="00DE7019" w:rsidRDefault="00DE7019" w:rsidP="00DE7019">
      <w:pPr>
        <w:widowControl/>
        <w:spacing w:line="360" w:lineRule="auto"/>
        <w:jc w:val="left"/>
        <w:rPr>
          <w:rFonts w:ascii="宋体" w:hAnsi="宋体" w:cs="宋体" w:hint="eastAsia"/>
          <w:b/>
          <w:kern w:val="0"/>
          <w:szCs w:val="21"/>
        </w:rPr>
      </w:pPr>
      <w:r>
        <w:rPr>
          <w:rFonts w:ascii="宋体" w:hAnsi="宋体" w:cs="宋体" w:hint="eastAsia"/>
          <w:b/>
          <w:kern w:val="0"/>
          <w:szCs w:val="21"/>
        </w:rPr>
        <w:t xml:space="preserve">    （二）录取结果公示。</w:t>
      </w:r>
    </w:p>
    <w:p w:rsidR="00DE7019" w:rsidRDefault="00DE7019" w:rsidP="00DE7019">
      <w:pPr>
        <w:widowControl/>
        <w:spacing w:line="360" w:lineRule="auto"/>
        <w:ind w:firstLineChars="200" w:firstLine="420"/>
        <w:jc w:val="left"/>
        <w:rPr>
          <w:rFonts w:ascii="宋体" w:hAnsi="宋体" w:cs="宋体" w:hint="eastAsia"/>
          <w:b/>
          <w:bCs/>
          <w:kern w:val="0"/>
          <w:szCs w:val="21"/>
        </w:rPr>
      </w:pPr>
      <w:r>
        <w:rPr>
          <w:rFonts w:ascii="宋体" w:hAnsi="宋体" w:cs="宋体" w:hint="eastAsia"/>
          <w:color w:val="000000"/>
          <w:kern w:val="0"/>
          <w:szCs w:val="21"/>
        </w:rPr>
        <w:t>复试考核后，根据录取成绩排序确定的各专业拟录取名单（包括考生姓名、考生编号、成绩等信息）在我校校园网公示10个工作日，对公示无异议的拟录取名单通过“</w:t>
      </w:r>
      <w:proofErr w:type="gramStart"/>
      <w:r>
        <w:rPr>
          <w:rFonts w:ascii="宋体" w:hAnsi="宋体" w:cs="宋体" w:hint="eastAsia"/>
          <w:color w:val="000000"/>
          <w:kern w:val="0"/>
          <w:szCs w:val="21"/>
        </w:rPr>
        <w:t>研招信息</w:t>
      </w:r>
      <w:proofErr w:type="gramEnd"/>
      <w:r>
        <w:rPr>
          <w:rFonts w:ascii="宋体" w:hAnsi="宋体" w:cs="宋体" w:hint="eastAsia"/>
          <w:color w:val="000000"/>
          <w:kern w:val="0"/>
          <w:szCs w:val="21"/>
        </w:rPr>
        <w:lastRenderedPageBreak/>
        <w:t>公开平台”</w:t>
      </w:r>
      <w:r>
        <w:rPr>
          <w:rFonts w:ascii="宋体" w:hAnsi="宋体" w:cs="宋体" w:hint="eastAsia"/>
          <w:b/>
          <w:kern w:val="0"/>
          <w:szCs w:val="21"/>
        </w:rPr>
        <w:t>报</w:t>
      </w:r>
      <w:r>
        <w:rPr>
          <w:rFonts w:ascii="宋体" w:hAnsi="宋体" w:cs="宋体" w:hint="eastAsia"/>
          <w:b/>
          <w:bCs/>
          <w:kern w:val="0"/>
          <w:szCs w:val="21"/>
        </w:rPr>
        <w:t>省级教育招生考试管理机构</w:t>
      </w:r>
      <w:r>
        <w:rPr>
          <w:rFonts w:ascii="宋体" w:hAnsi="宋体" w:cs="宋体" w:hint="eastAsia"/>
          <w:b/>
          <w:color w:val="000000"/>
          <w:kern w:val="0"/>
          <w:szCs w:val="21"/>
        </w:rPr>
        <w:t>进</w:t>
      </w:r>
      <w:r>
        <w:rPr>
          <w:rFonts w:ascii="宋体" w:hAnsi="宋体" w:cs="宋体" w:hint="eastAsia"/>
          <w:b/>
          <w:bCs/>
          <w:kern w:val="0"/>
          <w:szCs w:val="21"/>
        </w:rPr>
        <w:t>行审核</w:t>
      </w:r>
      <w:r>
        <w:rPr>
          <w:rFonts w:ascii="宋体" w:hAnsi="宋体" w:cs="宋体" w:hint="eastAsia"/>
          <w:color w:val="000000"/>
          <w:kern w:val="0"/>
          <w:szCs w:val="21"/>
        </w:rPr>
        <w:t>，待全国研究生招生录取审核批复后方为正式录取。未经学校公示及“</w:t>
      </w:r>
      <w:proofErr w:type="gramStart"/>
      <w:r>
        <w:rPr>
          <w:rFonts w:ascii="宋体" w:hAnsi="宋体" w:cs="宋体" w:hint="eastAsia"/>
          <w:color w:val="000000"/>
          <w:kern w:val="0"/>
          <w:szCs w:val="21"/>
        </w:rPr>
        <w:t>研招信息</w:t>
      </w:r>
      <w:proofErr w:type="gramEnd"/>
      <w:r>
        <w:rPr>
          <w:rFonts w:ascii="宋体" w:hAnsi="宋体" w:cs="宋体" w:hint="eastAsia"/>
          <w:color w:val="000000"/>
          <w:kern w:val="0"/>
          <w:szCs w:val="21"/>
        </w:rPr>
        <w:t>公开平台”备案的考生不得录取。</w:t>
      </w:r>
    </w:p>
    <w:p w:rsidR="00DE7019" w:rsidRDefault="00DE7019" w:rsidP="00DE7019">
      <w:pPr>
        <w:widowControl/>
        <w:spacing w:line="360" w:lineRule="auto"/>
        <w:jc w:val="left"/>
        <w:rPr>
          <w:rFonts w:ascii="宋体" w:hAnsi="宋体" w:cs="宋体" w:hint="eastAsia"/>
          <w:kern w:val="0"/>
          <w:szCs w:val="21"/>
        </w:rPr>
      </w:pPr>
    </w:p>
    <w:p w:rsidR="00DE7019" w:rsidRDefault="00DE7019" w:rsidP="00DE7019">
      <w:pPr>
        <w:widowControl/>
        <w:spacing w:line="360" w:lineRule="auto"/>
        <w:jc w:val="left"/>
        <w:rPr>
          <w:rFonts w:ascii="宋体" w:hAnsi="宋体" w:cs="宋体" w:hint="eastAsia"/>
          <w:color w:val="000000"/>
          <w:kern w:val="0"/>
          <w:szCs w:val="21"/>
        </w:rPr>
      </w:pPr>
    </w:p>
    <w:p w:rsidR="00DE7019" w:rsidRDefault="00DE7019" w:rsidP="00DE7019">
      <w:pPr>
        <w:widowControl/>
        <w:spacing w:line="360" w:lineRule="auto"/>
        <w:ind w:leftChars="2150" w:left="4830" w:hangingChars="150" w:hanging="315"/>
        <w:jc w:val="left"/>
        <w:rPr>
          <w:rFonts w:ascii="宋体" w:hAnsi="宋体" w:cs="宋体" w:hint="eastAsia"/>
          <w:kern w:val="0"/>
          <w:szCs w:val="21"/>
        </w:rPr>
      </w:pPr>
      <w:r>
        <w:rPr>
          <w:rFonts w:ascii="宋体" w:hAnsi="宋体" w:cs="宋体" w:hint="eastAsia"/>
          <w:kern w:val="0"/>
          <w:szCs w:val="21"/>
        </w:rPr>
        <w:t xml:space="preserve">天津外国语大学国际商学院                                 </w:t>
      </w:r>
      <w:smartTag w:uri="urn:schemas-microsoft-com:office:smarttags" w:element="chsdate">
        <w:smartTagPr>
          <w:attr w:name="Year" w:val="2016"/>
          <w:attr w:name="Month" w:val="3"/>
          <w:attr w:name="Day" w:val="18"/>
          <w:attr w:name="IsLunarDate" w:val="False"/>
          <w:attr w:name="IsROCDate" w:val="False"/>
        </w:smartTagPr>
        <w:r>
          <w:rPr>
            <w:rFonts w:ascii="宋体" w:hAnsi="宋体" w:cs="宋体" w:hint="eastAsia"/>
            <w:kern w:val="0"/>
            <w:szCs w:val="21"/>
          </w:rPr>
          <w:t>2016年3月18日</w:t>
        </w:r>
      </w:smartTag>
    </w:p>
    <w:p w:rsidR="00DE7019" w:rsidRDefault="00DE7019" w:rsidP="00DE7019">
      <w:pPr>
        <w:widowControl/>
        <w:spacing w:line="360" w:lineRule="auto"/>
        <w:jc w:val="left"/>
        <w:rPr>
          <w:rFonts w:ascii="宋体" w:hAnsi="宋体" w:cs="宋体" w:hint="eastAsia"/>
          <w:b/>
          <w:bCs/>
          <w:color w:val="000000"/>
          <w:kern w:val="0"/>
          <w:szCs w:val="21"/>
        </w:rPr>
      </w:pPr>
    </w:p>
    <w:p w:rsidR="00DE7019" w:rsidRDefault="00DE7019" w:rsidP="00DE7019">
      <w:pPr>
        <w:widowControl/>
        <w:spacing w:line="360" w:lineRule="auto"/>
        <w:jc w:val="left"/>
        <w:rPr>
          <w:rFonts w:ascii="宋体" w:hAnsi="宋体" w:cs="宋体" w:hint="eastAsia"/>
          <w:b/>
          <w:bCs/>
          <w:color w:val="000000"/>
          <w:kern w:val="0"/>
          <w:szCs w:val="21"/>
        </w:rPr>
      </w:pPr>
    </w:p>
    <w:p w:rsidR="00DE7019" w:rsidRDefault="00DE7019" w:rsidP="00DE7019">
      <w:pPr>
        <w:widowControl/>
        <w:spacing w:line="360" w:lineRule="auto"/>
        <w:jc w:val="left"/>
        <w:rPr>
          <w:rFonts w:ascii="宋体" w:hAnsi="宋体" w:cs="宋体" w:hint="eastAsia"/>
          <w:b/>
          <w:bCs/>
          <w:color w:val="000000"/>
          <w:kern w:val="0"/>
          <w:szCs w:val="21"/>
        </w:rPr>
      </w:pPr>
    </w:p>
    <w:p w:rsidR="00DE7019" w:rsidRDefault="00DE7019" w:rsidP="00DE7019">
      <w:pPr>
        <w:widowControl/>
        <w:spacing w:line="360" w:lineRule="auto"/>
        <w:jc w:val="left"/>
        <w:rPr>
          <w:rFonts w:ascii="宋体" w:hAnsi="宋体" w:cs="宋体" w:hint="eastAsia"/>
          <w:b/>
          <w:bCs/>
          <w:color w:val="000000"/>
          <w:kern w:val="0"/>
          <w:szCs w:val="21"/>
        </w:rPr>
      </w:pPr>
    </w:p>
    <w:p w:rsidR="00DE7019" w:rsidRDefault="00DE7019" w:rsidP="00DE7019">
      <w:pPr>
        <w:widowControl/>
        <w:spacing w:line="360" w:lineRule="auto"/>
        <w:jc w:val="left"/>
        <w:rPr>
          <w:rFonts w:ascii="宋体" w:hAnsi="宋体" w:cs="宋体" w:hint="eastAsia"/>
          <w:b/>
          <w:bCs/>
          <w:color w:val="000000"/>
          <w:kern w:val="0"/>
          <w:szCs w:val="21"/>
        </w:rPr>
      </w:pPr>
    </w:p>
    <w:p w:rsidR="00DE7019" w:rsidRDefault="00DE7019" w:rsidP="00DE7019">
      <w:pPr>
        <w:ind w:firstLineChars="2200" w:firstLine="4620"/>
        <w:rPr>
          <w:rFonts w:hint="eastAsia"/>
          <w:szCs w:val="21"/>
        </w:rPr>
      </w:pPr>
    </w:p>
    <w:p w:rsidR="00F427C1" w:rsidRPr="00DE7019" w:rsidRDefault="00F427C1"/>
    <w:sectPr w:rsidR="00F427C1" w:rsidRPr="00DE7019">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FD" w:rsidRDefault="00DE7019">
    <w:pPr>
      <w:pStyle w:val="a4"/>
      <w:framePr w:wrap="around" w:vAnchor="text" w:hAnchor="margin" w:xAlign="center" w:y="1"/>
      <w:rPr>
        <w:rStyle w:val="a3"/>
      </w:rPr>
    </w:pPr>
    <w:r>
      <w:fldChar w:fldCharType="begin"/>
    </w:r>
    <w:r>
      <w:rPr>
        <w:rStyle w:val="a3"/>
      </w:rPr>
      <w:instrText xml:space="preserve">PAGE  </w:instrText>
    </w:r>
    <w:r>
      <w:fldChar w:fldCharType="end"/>
    </w:r>
  </w:p>
  <w:p w:rsidR="009278FD" w:rsidRDefault="00DE70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FD" w:rsidRDefault="00DE7019">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9278FD" w:rsidRDefault="00DE701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19"/>
    <w:rsid w:val="00DE7019"/>
    <w:rsid w:val="00F4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E7019"/>
  </w:style>
  <w:style w:type="paragraph" w:styleId="a4">
    <w:name w:val="footer"/>
    <w:basedOn w:val="a"/>
    <w:link w:val="Char"/>
    <w:rsid w:val="00DE7019"/>
    <w:pPr>
      <w:tabs>
        <w:tab w:val="center" w:pos="4153"/>
        <w:tab w:val="right" w:pos="8306"/>
      </w:tabs>
      <w:snapToGrid w:val="0"/>
      <w:jc w:val="left"/>
    </w:pPr>
    <w:rPr>
      <w:sz w:val="18"/>
      <w:szCs w:val="18"/>
    </w:rPr>
  </w:style>
  <w:style w:type="character" w:customStyle="1" w:styleId="Char">
    <w:name w:val="页脚 Char"/>
    <w:basedOn w:val="a0"/>
    <w:link w:val="a4"/>
    <w:rsid w:val="00DE7019"/>
    <w:rPr>
      <w:rFonts w:ascii="Times New Roman" w:eastAsia="宋体" w:hAnsi="Times New Roman" w:cs="Times New Roman"/>
      <w:sz w:val="18"/>
      <w:szCs w:val="18"/>
    </w:rPr>
  </w:style>
  <w:style w:type="paragraph" w:styleId="a5">
    <w:name w:val="Normal (Web)"/>
    <w:basedOn w:val="a"/>
    <w:rsid w:val="00DE7019"/>
    <w:pPr>
      <w:widowControl/>
      <w:spacing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E7019"/>
  </w:style>
  <w:style w:type="paragraph" w:styleId="a4">
    <w:name w:val="footer"/>
    <w:basedOn w:val="a"/>
    <w:link w:val="Char"/>
    <w:rsid w:val="00DE7019"/>
    <w:pPr>
      <w:tabs>
        <w:tab w:val="center" w:pos="4153"/>
        <w:tab w:val="right" w:pos="8306"/>
      </w:tabs>
      <w:snapToGrid w:val="0"/>
      <w:jc w:val="left"/>
    </w:pPr>
    <w:rPr>
      <w:sz w:val="18"/>
      <w:szCs w:val="18"/>
    </w:rPr>
  </w:style>
  <w:style w:type="character" w:customStyle="1" w:styleId="Char">
    <w:name w:val="页脚 Char"/>
    <w:basedOn w:val="a0"/>
    <w:link w:val="a4"/>
    <w:rsid w:val="00DE7019"/>
    <w:rPr>
      <w:rFonts w:ascii="Times New Roman" w:eastAsia="宋体" w:hAnsi="Times New Roman" w:cs="Times New Roman"/>
      <w:sz w:val="18"/>
      <w:szCs w:val="18"/>
    </w:rPr>
  </w:style>
  <w:style w:type="paragraph" w:styleId="a5">
    <w:name w:val="Normal (Web)"/>
    <w:basedOn w:val="a"/>
    <w:rsid w:val="00DE7019"/>
    <w:pPr>
      <w:widowControl/>
      <w:spacing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JIAN</dc:creator>
  <cp:lastModifiedBy>MA JIAN</cp:lastModifiedBy>
  <cp:revision>1</cp:revision>
  <dcterms:created xsi:type="dcterms:W3CDTF">2016-03-18T15:48:00Z</dcterms:created>
  <dcterms:modified xsi:type="dcterms:W3CDTF">2016-03-18T15:49:00Z</dcterms:modified>
</cp:coreProperties>
</file>