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28"/>
          <w:szCs w:val="28"/>
          <w:lang w:eastAsia="zh-CN"/>
        </w:rPr>
      </w:pPr>
      <w:r>
        <w:rPr>
          <w:rFonts w:hint="eastAsia"/>
          <w:b/>
          <w:bCs/>
          <w:sz w:val="28"/>
          <w:szCs w:val="28"/>
          <w:lang w:eastAsia="zh-CN"/>
        </w:rPr>
        <w:t>赣南师范大学</w:t>
      </w:r>
      <w:r>
        <w:rPr>
          <w:rFonts w:hint="eastAsia"/>
          <w:b/>
          <w:bCs/>
          <w:sz w:val="28"/>
          <w:szCs w:val="28"/>
          <w:lang w:val="en-US" w:eastAsia="zh-CN"/>
        </w:rPr>
        <w:t>2016年研究生招生</w:t>
      </w:r>
      <w:r>
        <w:rPr>
          <w:rFonts w:hint="eastAsia"/>
          <w:b/>
          <w:bCs/>
          <w:sz w:val="28"/>
          <w:szCs w:val="28"/>
          <w:lang w:eastAsia="zh-CN"/>
        </w:rPr>
        <w:t>享受加分政策名单公示</w:t>
      </w:r>
      <w:r>
        <w:rPr>
          <w:rFonts w:hint="eastAsia"/>
          <w:b/>
          <w:bCs/>
          <w:sz w:val="28"/>
          <w:szCs w:val="28"/>
          <w:lang w:val="en-US" w:eastAsia="zh-CN"/>
        </w:rPr>
        <w:t>(第二批）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200"/>
        <w:jc w:val="both"/>
        <w:textAlignment w:val="auto"/>
        <w:outlineLvl w:val="9"/>
      </w:pPr>
      <w:r>
        <w:rPr>
          <w:rFonts w:hint="eastAsia" w:eastAsia="宋体"/>
          <w:color w:val="333333"/>
          <w:sz w:val="21"/>
          <w:szCs w:val="21"/>
          <w:lang w:eastAsia="zh-CN"/>
        </w:rPr>
        <w:t>根据</w:t>
      </w:r>
      <w:r>
        <w:rPr>
          <w:rFonts w:hint="eastAsia"/>
          <w:color w:val="333333"/>
          <w:sz w:val="21"/>
          <w:szCs w:val="21"/>
        </w:rPr>
        <w:t>《2016年全国硕士研究生招生工作管理规定》</w:t>
      </w:r>
      <w:r>
        <w:rPr>
          <w:rFonts w:hint="eastAsia" w:eastAsia="宋体"/>
          <w:color w:val="333333"/>
          <w:sz w:val="21"/>
          <w:szCs w:val="21"/>
          <w:lang w:eastAsia="zh-CN"/>
        </w:rPr>
        <w:t>（</w:t>
      </w:r>
      <w:r>
        <w:rPr>
          <w:color w:val="333333"/>
          <w:sz w:val="21"/>
          <w:szCs w:val="21"/>
        </w:rPr>
        <w:t>教学[2015]9号</w:t>
      </w:r>
      <w:r>
        <w:rPr>
          <w:rFonts w:hint="eastAsia" w:eastAsia="宋体"/>
          <w:color w:val="333333"/>
          <w:sz w:val="21"/>
          <w:szCs w:val="21"/>
          <w:lang w:eastAsia="zh-CN"/>
        </w:rPr>
        <w:t>）文件</w:t>
      </w:r>
      <w:r>
        <w:rPr>
          <w:color w:val="333333"/>
          <w:sz w:val="21"/>
          <w:szCs w:val="21"/>
        </w:rPr>
        <w:t>第六十条</w:t>
      </w:r>
      <w:r>
        <w:rPr>
          <w:rFonts w:hint="eastAsia" w:eastAsia="宋体"/>
          <w:color w:val="333333"/>
          <w:sz w:val="21"/>
          <w:szCs w:val="21"/>
          <w:lang w:eastAsia="zh-CN"/>
        </w:rPr>
        <w:t>：</w:t>
      </w:r>
      <w:r>
        <w:rPr>
          <w:color w:val="333333"/>
          <w:sz w:val="21"/>
          <w:szCs w:val="21"/>
        </w:rPr>
        <w:t xml:space="preserve"> 参加“大学生志愿服务西部计划”“三支一扶计划”“农村义务教育阶段学校教师特设岗位计划”“赴外汉语教师志愿者”等项目服务期满、考核合格的考生和普通高等学校应届毕业生应征入伍服义务兵役退役后的考生，3年内参加全国硕士研究生招生考试的，初试总分加10分，同等条件下优先录取。普通高校在校生(含高校新生)应征入伍服义务兵役退役，在完成本科学业后3年内参加全国硕士研究生招生考试的，初试总分加10分，同等条件下优先录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200"/>
        <w:jc w:val="both"/>
        <w:textAlignment w:val="auto"/>
        <w:outlineLvl w:val="9"/>
        <w:rPr>
          <w:color w:val="333333"/>
          <w:sz w:val="21"/>
          <w:szCs w:val="21"/>
        </w:rPr>
      </w:pPr>
      <w:r>
        <w:rPr>
          <w:color w:val="333333"/>
          <w:sz w:val="21"/>
          <w:szCs w:val="21"/>
        </w:rPr>
        <w:t>参加“选聘高校毕业生到村任职”项目服务期满、考核称职以上的考生，3年内参加全国硕士研究生招生考试的，初试总分加10分，同等条件下优先录取，其中报考人文社科类专业研究生的，初试总分加15分。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200"/>
        <w:jc w:val="both"/>
        <w:textAlignment w:val="auto"/>
        <w:outlineLvl w:val="9"/>
        <w:rPr>
          <w:rFonts w:hint="eastAsia" w:eastAsia="宋体"/>
          <w:color w:val="333333"/>
          <w:sz w:val="21"/>
          <w:szCs w:val="21"/>
          <w:lang w:eastAsia="zh-CN"/>
        </w:rPr>
      </w:pPr>
      <w:r>
        <w:rPr>
          <w:rFonts w:hint="eastAsia" w:eastAsia="宋体"/>
          <w:color w:val="333333"/>
          <w:sz w:val="21"/>
          <w:szCs w:val="21"/>
          <w:lang w:eastAsia="zh-CN"/>
        </w:rPr>
        <w:t>现经考生本人申请，研究生部审核，现将享受加分政策考生名单予以公示：</w:t>
      </w:r>
    </w:p>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bCs/>
          <w:sz w:val="36"/>
          <w:szCs w:val="36"/>
          <w:vertAlign w:val="baseline"/>
          <w:lang w:eastAsia="zh-CN"/>
        </w:rPr>
      </w:pPr>
    </w:p>
    <w:tbl>
      <w:tblPr>
        <w:tblStyle w:val="13"/>
        <w:tblW w:w="10110" w:type="dxa"/>
        <w:tblInd w:w="-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1155"/>
        <w:gridCol w:w="1290"/>
        <w:gridCol w:w="1020"/>
        <w:gridCol w:w="1905"/>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0"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考生编号</w:t>
            </w:r>
          </w:p>
        </w:tc>
        <w:tc>
          <w:tcPr>
            <w:tcW w:w="1155"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考生姓名</w:t>
            </w:r>
          </w:p>
        </w:tc>
        <w:tc>
          <w:tcPr>
            <w:tcW w:w="1290"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报考专业</w:t>
            </w:r>
          </w:p>
        </w:tc>
        <w:tc>
          <w:tcPr>
            <w:tcW w:w="1020"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初试总分</w:t>
            </w:r>
          </w:p>
        </w:tc>
        <w:tc>
          <w:tcPr>
            <w:tcW w:w="1905"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加分项目</w:t>
            </w:r>
          </w:p>
        </w:tc>
        <w:tc>
          <w:tcPr>
            <w:tcW w:w="1260"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加分分值</w:t>
            </w:r>
          </w:p>
        </w:tc>
        <w:tc>
          <w:tcPr>
            <w:tcW w:w="1620"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sz w:val="21"/>
                <w:szCs w:val="21"/>
                <w:vertAlign w:val="baseline"/>
                <w:lang w:eastAsia="zh-CN"/>
              </w:rPr>
            </w:pPr>
            <w:r>
              <w:rPr>
                <w:rFonts w:hint="eastAsia"/>
                <w:b w:val="0"/>
                <w:bCs w:val="0"/>
                <w:sz w:val="21"/>
                <w:szCs w:val="21"/>
                <w:vertAlign w:val="baseline"/>
                <w:lang w:eastAsia="zh-CN"/>
              </w:rPr>
              <w:t>加分后初试总成绩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0" w:type="dxa"/>
            <w:textDirection w:val="lrTb"/>
            <w:vAlign w:val="center"/>
          </w:tcPr>
          <w:p>
            <w:pPr>
              <w:keepNext w:val="0"/>
              <w:keepLines w:val="0"/>
              <w:widowControl/>
              <w:suppressLineNumbers w:val="0"/>
              <w:jc w:val="left"/>
              <w:textAlignment w:val="center"/>
              <w:rPr>
                <w:rFonts w:hint="eastAsia"/>
                <w:b w:val="0"/>
                <w:bCs w:val="0"/>
                <w:color w:val="000000" w:themeColor="text1"/>
                <w:sz w:val="21"/>
                <w:szCs w:val="21"/>
                <w:vertAlign w:val="baseline"/>
                <w:lang w:eastAsia="zh-CN"/>
                <w14:textFill>
                  <w14:solidFill>
                    <w14:schemeClr w14:val="tx1"/>
                  </w14:solidFill>
                </w14:textFill>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104186210140021</w:t>
            </w:r>
          </w:p>
        </w:tc>
        <w:tc>
          <w:tcPr>
            <w:tcW w:w="1155" w:type="dxa"/>
            <w:textDirection w:val="lrTb"/>
            <w:vAlign w:val="center"/>
          </w:tcPr>
          <w:p>
            <w:pPr>
              <w:keepNext w:val="0"/>
              <w:keepLines w:val="0"/>
              <w:widowControl/>
              <w:suppressLineNumbers w:val="0"/>
              <w:jc w:val="left"/>
              <w:textAlignment w:val="center"/>
              <w:rPr>
                <w:rFonts w:hint="eastAsia"/>
                <w:b w:val="0"/>
                <w:bCs w:val="0"/>
                <w:color w:val="000000" w:themeColor="text1"/>
                <w:sz w:val="21"/>
                <w:szCs w:val="21"/>
                <w:vertAlign w:val="baseline"/>
                <w:lang w:eastAsia="zh-CN"/>
                <w14:textFill>
                  <w14:solidFill>
                    <w14:schemeClr w14:val="tx1"/>
                  </w14:solidFill>
                </w14:textFill>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王冬梅</w:t>
            </w:r>
          </w:p>
        </w:tc>
        <w:tc>
          <w:tcPr>
            <w:tcW w:w="1290"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color w:val="000000" w:themeColor="text1"/>
                <w:sz w:val="21"/>
                <w:szCs w:val="21"/>
                <w:vertAlign w:val="baseline"/>
                <w:lang w:eastAsia="zh-CN"/>
                <w14:textFill>
                  <w14:solidFill>
                    <w14:schemeClr w14:val="tx1"/>
                  </w14:solidFill>
                </w14:textFill>
              </w:rPr>
            </w:pPr>
            <w:r>
              <w:rPr>
                <w:rFonts w:hint="eastAsia"/>
                <w:b w:val="0"/>
                <w:bCs w:val="0"/>
                <w:color w:val="000000" w:themeColor="text1"/>
                <w:sz w:val="21"/>
                <w:szCs w:val="21"/>
                <w:vertAlign w:val="baseline"/>
                <w:lang w:eastAsia="zh-CN"/>
                <w14:textFill>
                  <w14:solidFill>
                    <w14:schemeClr w14:val="tx1"/>
                  </w14:solidFill>
                </w14:textFill>
              </w:rPr>
              <w:t>学科教学（语文）</w:t>
            </w:r>
          </w:p>
        </w:tc>
        <w:tc>
          <w:tcPr>
            <w:tcW w:w="1020"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color w:val="000000" w:themeColor="text1"/>
                <w:sz w:val="21"/>
                <w:szCs w:val="21"/>
                <w:vertAlign w:val="baseline"/>
                <w:lang w:val="en-US" w:eastAsia="zh-CN"/>
                <w14:textFill>
                  <w14:solidFill>
                    <w14:schemeClr w14:val="tx1"/>
                  </w14:solidFill>
                </w14:textFill>
              </w:rPr>
            </w:pPr>
            <w:r>
              <w:rPr>
                <w:rFonts w:hint="eastAsia"/>
                <w:b w:val="0"/>
                <w:bCs w:val="0"/>
                <w:color w:val="000000" w:themeColor="text1"/>
                <w:sz w:val="21"/>
                <w:szCs w:val="21"/>
                <w:vertAlign w:val="baseline"/>
                <w:lang w:val="en-US" w:eastAsia="zh-CN"/>
                <w14:textFill>
                  <w14:solidFill>
                    <w14:schemeClr w14:val="tx1"/>
                  </w14:solidFill>
                </w14:textFill>
              </w:rPr>
              <w:t>353</w:t>
            </w:r>
          </w:p>
        </w:tc>
        <w:tc>
          <w:tcPr>
            <w:tcW w:w="1905"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color w:val="000000" w:themeColor="text1"/>
                <w:sz w:val="21"/>
                <w:szCs w:val="21"/>
                <w:vertAlign w:val="baseline"/>
                <w:lang w:eastAsia="zh-CN"/>
                <w14:textFill>
                  <w14:solidFill>
                    <w14:schemeClr w14:val="tx1"/>
                  </w14:solidFill>
                </w14:textFill>
              </w:rPr>
            </w:pPr>
            <w:r>
              <w:rPr>
                <w:rFonts w:hint="eastAsia"/>
                <w:b w:val="0"/>
                <w:bCs w:val="0"/>
                <w:color w:val="000000" w:themeColor="text1"/>
                <w:sz w:val="21"/>
                <w:szCs w:val="21"/>
                <w:vertAlign w:val="baseline"/>
                <w:lang w:eastAsia="zh-CN"/>
                <w14:textFill>
                  <w14:solidFill>
                    <w14:schemeClr w14:val="tx1"/>
                  </w14:solidFill>
                </w14:textFill>
              </w:rPr>
              <w:t>特岗教师</w:t>
            </w:r>
          </w:p>
        </w:tc>
        <w:tc>
          <w:tcPr>
            <w:tcW w:w="1260"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10</w:t>
            </w:r>
          </w:p>
        </w:tc>
        <w:tc>
          <w:tcPr>
            <w:tcW w:w="1620" w:type="dxa"/>
          </w:tcPr>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b w:val="0"/>
                <w:bCs w:val="0"/>
                <w:sz w:val="21"/>
                <w:szCs w:val="21"/>
                <w:vertAlign w:val="baseline"/>
                <w:lang w:val="en-US" w:eastAsia="zh-CN"/>
              </w:rPr>
            </w:pPr>
            <w:r>
              <w:rPr>
                <w:rFonts w:hint="eastAsia"/>
                <w:b w:val="0"/>
                <w:bCs w:val="0"/>
                <w:sz w:val="21"/>
                <w:szCs w:val="21"/>
                <w:vertAlign w:val="baseline"/>
                <w:lang w:val="en-US" w:eastAsia="zh-CN"/>
              </w:rPr>
              <w:t>363</w:t>
            </w:r>
          </w:p>
        </w:tc>
      </w:tr>
    </w:tbl>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b w:val="0"/>
          <w:bCs w:val="0"/>
          <w:sz w:val="36"/>
          <w:szCs w:val="36"/>
          <w:lang w:eastAsia="zh-CN"/>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b w:val="0"/>
          <w:bCs w:val="0"/>
          <w:sz w:val="36"/>
          <w:szCs w:val="36"/>
          <w:lang w:val="en-US" w:eastAsia="zh-CN"/>
        </w:rPr>
      </w:pPr>
      <w:r>
        <w:rPr>
          <w:rFonts w:hint="eastAsia"/>
          <w:b w:val="0"/>
          <w:bCs w:val="0"/>
          <w:sz w:val="28"/>
          <w:szCs w:val="28"/>
          <w:lang w:val="en-US" w:eastAsia="zh-CN"/>
        </w:rPr>
        <w:t>如有符合以上加分政策的考生，务必在2016年3月31日上午12点之前提交申请并提供相关证明材料到研究生部审核，逾期本次复试不再受理。</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b w:val="0"/>
          <w:bCs w:val="0"/>
          <w:sz w:val="36"/>
          <w:szCs w:val="36"/>
          <w:lang w:val="en-US" w:eastAsia="zh-CN"/>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b w:val="0"/>
          <w:bCs w:val="0"/>
          <w:sz w:val="36"/>
          <w:szCs w:val="36"/>
          <w:lang w:val="en-US" w:eastAsia="zh-CN"/>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b w:val="0"/>
          <w:bCs w:val="0"/>
          <w:sz w:val="28"/>
          <w:szCs w:val="28"/>
          <w:lang w:val="en-US" w:eastAsia="zh-CN"/>
        </w:rPr>
      </w:pPr>
      <w:r>
        <w:rPr>
          <w:rFonts w:hint="eastAsia"/>
          <w:b w:val="0"/>
          <w:bCs w:val="0"/>
          <w:sz w:val="36"/>
          <w:szCs w:val="36"/>
          <w:lang w:val="en-US" w:eastAsia="zh-CN"/>
        </w:rPr>
        <w:t xml:space="preserve">                          </w:t>
      </w:r>
      <w:r>
        <w:rPr>
          <w:rFonts w:hint="eastAsia"/>
          <w:b w:val="0"/>
          <w:bCs w:val="0"/>
          <w:sz w:val="28"/>
          <w:szCs w:val="28"/>
          <w:lang w:val="en-US" w:eastAsia="zh-CN"/>
        </w:rPr>
        <w:t>赣南师范大学研究生部</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b/>
          <w:bCs/>
          <w:sz w:val="28"/>
          <w:szCs w:val="28"/>
          <w:lang w:val="en-US" w:eastAsia="zh-CN"/>
        </w:rPr>
      </w:pPr>
      <w:r>
        <w:rPr>
          <w:rFonts w:hint="eastAsia"/>
          <w:b w:val="0"/>
          <w:bCs w:val="0"/>
          <w:sz w:val="28"/>
          <w:szCs w:val="28"/>
          <w:lang w:val="en-US" w:eastAsia="zh-CN"/>
        </w:rPr>
        <w:t xml:space="preserve">                                     2016年3月29日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B1273"/>
    <w:rsid w:val="06A7200D"/>
    <w:rsid w:val="09823753"/>
    <w:rsid w:val="19E36A2A"/>
    <w:rsid w:val="20413DF1"/>
    <w:rsid w:val="2EAC7686"/>
    <w:rsid w:val="365D5D2A"/>
    <w:rsid w:val="38997495"/>
    <w:rsid w:val="3B745644"/>
    <w:rsid w:val="40B51202"/>
    <w:rsid w:val="42A60720"/>
    <w:rsid w:val="430E5C6F"/>
    <w:rsid w:val="549072D8"/>
    <w:rsid w:val="58550F38"/>
    <w:rsid w:val="5CFE7E64"/>
    <w:rsid w:val="61BA608F"/>
    <w:rsid w:val="6F8B5F72"/>
    <w:rsid w:val="78150349"/>
    <w:rsid w:val="7AE03C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Microsoft YaHei" w:hAnsi="Microsoft YaHei" w:eastAsia="Microsoft YaHei" w:cs="Microsoft YaHei"/>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56BC9"/>
      <w:u w:val="none"/>
    </w:rPr>
  </w:style>
  <w:style w:type="character" w:styleId="6">
    <w:name w:val="HTML Typewriter"/>
    <w:basedOn w:val="3"/>
    <w:uiPriority w:val="0"/>
    <w:rPr>
      <w:rFonts w:ascii="Courier New" w:hAnsi="Courier New"/>
      <w:sz w:val="24"/>
      <w:szCs w:val="24"/>
    </w:rPr>
  </w:style>
  <w:style w:type="character" w:styleId="7">
    <w:name w:val="HTML Acronym"/>
    <w:basedOn w:val="3"/>
    <w:uiPriority w:val="0"/>
  </w:style>
  <w:style w:type="character" w:styleId="8">
    <w:name w:val="Hyperlink"/>
    <w:basedOn w:val="3"/>
    <w:uiPriority w:val="0"/>
    <w:rPr>
      <w:color w:val="056BC9"/>
      <w:u w:val="none"/>
    </w:rPr>
  </w:style>
  <w:style w:type="character" w:styleId="9">
    <w:name w:val="HTML Code"/>
    <w:basedOn w:val="3"/>
    <w:uiPriority w:val="0"/>
    <w:rPr>
      <w:rFonts w:hint="default" w:ascii="Microsoft YaHei" w:hAnsi="Microsoft YaHei" w:eastAsia="Microsoft YaHei" w:cs="Microsoft YaHei"/>
      <w:sz w:val="24"/>
      <w:szCs w:val="24"/>
    </w:rPr>
  </w:style>
  <w:style w:type="character" w:styleId="10">
    <w:name w:val="HTML Keyboard"/>
    <w:basedOn w:val="3"/>
    <w:uiPriority w:val="0"/>
    <w:rPr>
      <w:rFonts w:ascii="Courier New" w:hAnsi="Courier New"/>
      <w:sz w:val="24"/>
      <w:szCs w:val="24"/>
    </w:rPr>
  </w:style>
  <w:style w:type="character" w:styleId="11">
    <w:name w:val="HTML Sample"/>
    <w:basedOn w:val="3"/>
    <w:uiPriority w:val="0"/>
    <w:rPr>
      <w:rFonts w:ascii="Courier New" w:hAnsi="Courier New"/>
      <w:sz w:val="24"/>
      <w:szCs w:val="24"/>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4">
    <w:name w:val="icondiv"/>
    <w:basedOn w:val="3"/>
    <w:uiPriority w:val="0"/>
    <w:rPr>
      <w:bdr w:val="single" w:color="CECBCE" w:sz="6" w:space="0"/>
    </w:rPr>
  </w:style>
  <w:style w:type="character" w:customStyle="1" w:styleId="15">
    <w:name w:val="icon"/>
    <w:basedOn w:val="3"/>
    <w:uiPriority w:val="0"/>
  </w:style>
  <w:style w:type="character" w:customStyle="1" w:styleId="16">
    <w:name w:val="spantime"/>
    <w:basedOn w:val="3"/>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2016-03-30T04:53:58Z</cp:lastPrinted>
  <dcterms:modified xsi:type="dcterms:W3CDTF">2016-03-30T04:55:02Z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