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spacing w:before="156" w:beforeLines="50" w:line="400" w:lineRule="exact"/>
        <w:ind w:firstLine="360" w:firstLineChars="150"/>
        <w:jc w:val="left"/>
        <w:rPr>
          <w:rFonts w:eastAsia="仿宋"/>
          <w:b/>
          <w:color w:val="333333"/>
          <w:sz w:val="24"/>
          <w:szCs w:val="24"/>
          <w:lang w:bidi="ar"/>
        </w:rPr>
      </w:pPr>
      <w:bookmarkStart w:id="0" w:name="_GoBack"/>
      <w:bookmarkEnd w:id="0"/>
      <w:r>
        <w:rPr>
          <w:rFonts w:hint="eastAsia" w:hAnsi="仿宋" w:eastAsia="仿宋"/>
          <w:b/>
          <w:color w:val="333333"/>
          <w:sz w:val="24"/>
          <w:szCs w:val="24"/>
          <w:lang w:eastAsia="zh-CN" w:bidi="ar"/>
        </w:rPr>
        <w:t>一</w:t>
      </w:r>
      <w:r>
        <w:rPr>
          <w:rFonts w:hAnsi="仿宋" w:eastAsia="仿宋"/>
          <w:b/>
          <w:color w:val="333333"/>
          <w:sz w:val="24"/>
          <w:szCs w:val="24"/>
          <w:lang w:bidi="ar"/>
        </w:rPr>
        <w:t>、专业方向和培养目标</w:t>
      </w:r>
    </w:p>
    <w:p>
      <w:pPr>
        <w:pStyle w:val="2"/>
        <w:pBdr>
          <w:bottom w:val="none" w:color="auto" w:sz="0" w:space="0"/>
        </w:pBdr>
        <w:spacing w:before="156" w:beforeLines="50" w:line="400" w:lineRule="exact"/>
        <w:ind w:firstLine="360" w:firstLineChars="150"/>
        <w:jc w:val="left"/>
        <w:rPr>
          <w:rFonts w:hint="eastAsia" w:hAnsi="仿宋" w:eastAsia="仿宋"/>
          <w:color w:val="000000"/>
          <w:sz w:val="24"/>
          <w:szCs w:val="24"/>
        </w:rPr>
      </w:pPr>
      <w:r>
        <w:rPr>
          <w:rFonts w:hAnsi="仿宋" w:eastAsia="仿宋"/>
          <w:b/>
          <w:color w:val="333333"/>
          <w:kern w:val="0"/>
          <w:sz w:val="24"/>
          <w:szCs w:val="24"/>
          <w:lang w:bidi="ar"/>
        </w:rPr>
        <w:t>专业方向</w:t>
      </w:r>
      <w:r>
        <w:rPr>
          <w:rFonts w:hAnsi="仿宋" w:eastAsia="仿宋"/>
          <w:color w:val="000000"/>
          <w:sz w:val="24"/>
          <w:szCs w:val="24"/>
        </w:rPr>
        <w:t>：</w:t>
      </w:r>
    </w:p>
    <w:p>
      <w:pPr>
        <w:pStyle w:val="2"/>
        <w:pBdr>
          <w:bottom w:val="none" w:color="auto" w:sz="0" w:space="0"/>
        </w:pBdr>
        <w:spacing w:before="156" w:beforeLines="50" w:line="400" w:lineRule="exact"/>
        <w:ind w:firstLine="360" w:firstLineChars="15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01.</w:t>
      </w:r>
      <w:r>
        <w:rPr>
          <w:rFonts w:hAnsi="仿宋" w:eastAsia="仿宋"/>
          <w:color w:val="000000"/>
          <w:sz w:val="24"/>
          <w:szCs w:val="24"/>
        </w:rPr>
        <w:t>固体废弃物处理处置与资源化</w:t>
      </w:r>
      <w:r>
        <w:rPr>
          <w:rFonts w:eastAsia="仿宋"/>
          <w:color w:val="000000"/>
          <w:sz w:val="24"/>
          <w:szCs w:val="24"/>
        </w:rPr>
        <w:t xml:space="preserve"> 02.</w:t>
      </w:r>
      <w:r>
        <w:rPr>
          <w:rFonts w:hAnsi="仿宋" w:eastAsia="仿宋"/>
          <w:color w:val="000000"/>
          <w:sz w:val="24"/>
          <w:szCs w:val="24"/>
        </w:rPr>
        <w:t>水污染处理与防治</w:t>
      </w:r>
      <w:r>
        <w:rPr>
          <w:rFonts w:eastAsia="仿宋"/>
          <w:color w:val="000000"/>
          <w:sz w:val="24"/>
          <w:szCs w:val="24"/>
        </w:rPr>
        <w:t xml:space="preserve"> 03.</w:t>
      </w:r>
      <w:r>
        <w:rPr>
          <w:rFonts w:hAnsi="仿宋" w:eastAsia="仿宋"/>
          <w:color w:val="000000"/>
          <w:sz w:val="24"/>
          <w:szCs w:val="24"/>
        </w:rPr>
        <w:t>大气污染控制与防治</w:t>
      </w:r>
      <w:r>
        <w:rPr>
          <w:rFonts w:eastAsia="仿宋"/>
          <w:color w:val="000000"/>
          <w:sz w:val="24"/>
          <w:szCs w:val="24"/>
        </w:rPr>
        <w:t xml:space="preserve"> 04.</w:t>
      </w:r>
      <w:r>
        <w:rPr>
          <w:rFonts w:hAnsi="仿宋" w:eastAsia="仿宋"/>
          <w:color w:val="000000"/>
          <w:sz w:val="24"/>
          <w:szCs w:val="24"/>
        </w:rPr>
        <w:t>环境生态工程</w:t>
      </w:r>
      <w:r>
        <w:rPr>
          <w:rFonts w:eastAsia="仿宋"/>
          <w:color w:val="000000"/>
          <w:sz w:val="24"/>
          <w:szCs w:val="24"/>
        </w:rPr>
        <w:t xml:space="preserve"> 05.</w:t>
      </w:r>
      <w:r>
        <w:rPr>
          <w:rFonts w:hAnsi="仿宋" w:eastAsia="仿宋"/>
          <w:color w:val="000000"/>
          <w:sz w:val="24"/>
          <w:szCs w:val="24"/>
        </w:rPr>
        <w:t>环保设备与控制</w:t>
      </w:r>
      <w:r>
        <w:rPr>
          <w:rFonts w:eastAsia="仿宋"/>
          <w:color w:val="000000"/>
          <w:sz w:val="24"/>
          <w:szCs w:val="24"/>
        </w:rPr>
        <w:t xml:space="preserve"> 06.</w:t>
      </w:r>
      <w:r>
        <w:rPr>
          <w:rFonts w:hAnsi="仿宋" w:eastAsia="仿宋"/>
          <w:color w:val="000000"/>
          <w:sz w:val="24"/>
          <w:szCs w:val="24"/>
        </w:rPr>
        <w:t>环境规划与管理。</w:t>
      </w:r>
    </w:p>
    <w:p>
      <w:pPr>
        <w:pStyle w:val="2"/>
        <w:pBdr>
          <w:bottom w:val="none" w:color="auto" w:sz="0" w:space="0"/>
        </w:pBdr>
        <w:spacing w:before="156" w:beforeLines="50" w:line="400" w:lineRule="exact"/>
        <w:ind w:firstLine="360" w:firstLineChars="150"/>
        <w:jc w:val="left"/>
        <w:rPr>
          <w:rFonts w:hint="eastAsia" w:hAnsi="仿宋" w:eastAsia="仿宋"/>
          <w:color w:val="000000"/>
          <w:sz w:val="24"/>
          <w:szCs w:val="24"/>
        </w:rPr>
      </w:pPr>
      <w:r>
        <w:rPr>
          <w:rFonts w:hAnsi="仿宋" w:eastAsia="仿宋"/>
          <w:b/>
          <w:color w:val="333333"/>
          <w:kern w:val="0"/>
          <w:sz w:val="24"/>
          <w:szCs w:val="24"/>
          <w:lang w:bidi="ar"/>
        </w:rPr>
        <w:t>培养目标</w:t>
      </w:r>
      <w:r>
        <w:rPr>
          <w:rFonts w:hAnsi="仿宋" w:eastAsia="仿宋"/>
          <w:color w:val="000000"/>
          <w:sz w:val="24"/>
          <w:szCs w:val="24"/>
        </w:rPr>
        <w:t>：</w:t>
      </w:r>
    </w:p>
    <w:p>
      <w:pPr>
        <w:pStyle w:val="2"/>
        <w:pBdr>
          <w:bottom w:val="none" w:color="auto" w:sz="0" w:space="0"/>
        </w:pBdr>
        <w:spacing w:before="156" w:beforeLines="50" w:line="400" w:lineRule="exact"/>
        <w:ind w:firstLine="360" w:firstLineChars="150"/>
        <w:jc w:val="left"/>
        <w:rPr>
          <w:rFonts w:eastAsia="仿宋"/>
          <w:color w:val="000000"/>
          <w:sz w:val="24"/>
          <w:szCs w:val="24"/>
        </w:rPr>
      </w:pPr>
      <w:r>
        <w:rPr>
          <w:rFonts w:hAnsi="仿宋" w:eastAsia="仿宋"/>
          <w:color w:val="000000"/>
          <w:sz w:val="24"/>
          <w:szCs w:val="24"/>
        </w:rPr>
        <w:t>培养思想观念新、工程实践能力强，掌握环境工程的基本理论、先进技术方法，能独立从事与环保有关领域的技术研发、工程设计、营运管理、规划评估等方面应用型、复合型高层次工程技术人才和工程管理人才。</w:t>
      </w:r>
    </w:p>
    <w:p>
      <w:pPr>
        <w:pStyle w:val="2"/>
        <w:pBdr>
          <w:bottom w:val="none" w:color="auto" w:sz="0" w:space="0"/>
        </w:pBdr>
        <w:spacing w:before="156" w:beforeLines="50" w:line="400" w:lineRule="exact"/>
        <w:ind w:firstLine="360" w:firstLineChars="150"/>
        <w:jc w:val="left"/>
        <w:rPr>
          <w:rFonts w:eastAsia="仿宋"/>
          <w:b/>
          <w:color w:val="333333"/>
          <w:sz w:val="24"/>
          <w:szCs w:val="24"/>
          <w:lang w:bidi="ar"/>
        </w:rPr>
      </w:pPr>
      <w:r>
        <w:rPr>
          <w:rFonts w:hint="eastAsia" w:hAnsi="仿宋" w:eastAsia="仿宋"/>
          <w:b/>
          <w:color w:val="333333"/>
          <w:sz w:val="24"/>
          <w:szCs w:val="24"/>
          <w:lang w:eastAsia="zh-CN" w:bidi="ar"/>
        </w:rPr>
        <w:t>二</w:t>
      </w:r>
      <w:r>
        <w:rPr>
          <w:rFonts w:hAnsi="仿宋" w:eastAsia="仿宋"/>
          <w:b/>
          <w:color w:val="333333"/>
          <w:sz w:val="24"/>
          <w:szCs w:val="24"/>
          <w:lang w:bidi="ar"/>
        </w:rPr>
        <w:t>、培养模式与培养特色</w:t>
      </w:r>
    </w:p>
    <w:p>
      <w:pPr>
        <w:spacing w:before="156" w:beforeLines="50" w:line="400" w:lineRule="exact"/>
        <w:ind w:firstLine="480" w:firstLineChars="200"/>
        <w:rPr>
          <w:rFonts w:eastAsia="仿宋"/>
          <w:b/>
          <w:bCs/>
          <w:outline/>
          <w:color w:val="00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hAnsi="仿宋" w:eastAsia="仿宋"/>
          <w:color w:val="000000"/>
          <w:sz w:val="24"/>
          <w:szCs w:val="24"/>
        </w:rPr>
        <w:t>我校研究生实行</w:t>
      </w:r>
      <w:r>
        <w:rPr>
          <w:rFonts w:eastAsia="仿宋"/>
          <w:color w:val="000000"/>
          <w:sz w:val="24"/>
          <w:szCs w:val="24"/>
        </w:rPr>
        <w:t>“1+0.5+1”</w:t>
      </w:r>
      <w:r>
        <w:rPr>
          <w:rFonts w:hAnsi="仿宋" w:eastAsia="仿宋"/>
          <w:color w:val="000000"/>
          <w:sz w:val="24"/>
          <w:szCs w:val="24"/>
        </w:rPr>
        <w:t>三段式培养模式（见下表），</w:t>
      </w:r>
      <w:r>
        <w:rPr>
          <w:rFonts w:hAnsi="仿宋" w:eastAsia="仿宋"/>
          <w:sz w:val="24"/>
          <w:szCs w:val="24"/>
        </w:rPr>
        <w:t>并与业内知名企业、中国科学院过程工程研究所、德国和韩国的有关高校开展联合培养，成绩优秀的毕业生可推荐到德国、韩国等高校攻读博士学位，毕业生就业前景良好。</w:t>
      </w:r>
    </w:p>
    <w:tbl>
      <w:tblPr>
        <w:tblStyle w:val="5"/>
        <w:tblW w:w="86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46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6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b/>
                <w:bCs/>
                <w:color w:val="000000"/>
                <w:sz w:val="21"/>
                <w:szCs w:val="21"/>
              </w:rPr>
              <w:t>培养方式</w:t>
            </w:r>
          </w:p>
        </w:tc>
        <w:tc>
          <w:tcPr>
            <w:tcW w:w="5046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b/>
                <w:bCs/>
                <w:color w:val="000000"/>
                <w:sz w:val="21"/>
                <w:szCs w:val="21"/>
              </w:rPr>
              <w:t>培养内容</w:t>
            </w:r>
          </w:p>
        </w:tc>
        <w:tc>
          <w:tcPr>
            <w:tcW w:w="1060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b/>
                <w:bCs/>
                <w:color w:val="000000"/>
                <w:sz w:val="21"/>
                <w:szCs w:val="21"/>
              </w:rPr>
              <w:t>培养时间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6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color w:val="000000"/>
                <w:sz w:val="21"/>
                <w:szCs w:val="21"/>
              </w:rPr>
              <w:t>课堂教学和专业认知实习</w:t>
            </w:r>
          </w:p>
        </w:tc>
        <w:tc>
          <w:tcPr>
            <w:tcW w:w="5046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color w:val="000000"/>
                <w:sz w:val="21"/>
                <w:szCs w:val="21"/>
              </w:rPr>
              <w:t>修完国家规定的理论课学分，完成专业认知实习</w:t>
            </w:r>
          </w:p>
        </w:tc>
        <w:tc>
          <w:tcPr>
            <w:tcW w:w="1060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color w:val="000000"/>
                <w:sz w:val="21"/>
                <w:szCs w:val="21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6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color w:val="000000"/>
                <w:sz w:val="21"/>
                <w:szCs w:val="21"/>
              </w:rPr>
              <w:t>项目学习和短期游学</w:t>
            </w:r>
          </w:p>
        </w:tc>
        <w:tc>
          <w:tcPr>
            <w:tcW w:w="5046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color w:val="000000"/>
                <w:sz w:val="21"/>
                <w:szCs w:val="21"/>
              </w:rPr>
              <w:t>完成三个项目学习和开展短期国（境）内（外）游学</w:t>
            </w:r>
          </w:p>
        </w:tc>
        <w:tc>
          <w:tcPr>
            <w:tcW w:w="1060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color w:val="000000"/>
                <w:sz w:val="21"/>
                <w:szCs w:val="21"/>
              </w:rPr>
              <w:t>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6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color w:val="000000"/>
                <w:sz w:val="21"/>
                <w:szCs w:val="21"/>
              </w:rPr>
              <w:t>毕业论文（设计）创作</w:t>
            </w:r>
          </w:p>
        </w:tc>
        <w:tc>
          <w:tcPr>
            <w:tcW w:w="5046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color w:val="000000"/>
                <w:sz w:val="21"/>
                <w:szCs w:val="21"/>
              </w:rPr>
              <w:t>在企业（院所）完成毕业论文（设计）工作</w:t>
            </w:r>
          </w:p>
        </w:tc>
        <w:tc>
          <w:tcPr>
            <w:tcW w:w="1060" w:type="dxa"/>
            <w:vAlign w:val="top"/>
          </w:tcPr>
          <w:p>
            <w:pPr>
              <w:pStyle w:val="3"/>
              <w:widowControl/>
              <w:spacing w:before="156" w:beforeLines="50" w:beforeAutospacing="0" w:after="0" w:afterAutospacing="0" w:line="40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hAnsi="仿宋" w:eastAsia="仿宋"/>
                <w:color w:val="000000"/>
                <w:sz w:val="21"/>
                <w:szCs w:val="21"/>
              </w:rPr>
              <w:t>一年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65BD4"/>
    <w:rsid w:val="3D765B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2017-02-22T08:24:00Z</dcterms:created>
  <dc:creator>Administrator</dc:creator>
  <cp:lastModifiedBy>Administrator</cp:lastModifiedBy>
  <dcterms:modified xsi:type="dcterms:W3CDTF">2017-02-22T08:57:16Z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