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C" w:rsidRPr="009C1639" w:rsidRDefault="001F796C" w:rsidP="00102442">
      <w:pPr>
        <w:widowControl/>
        <w:shd w:val="clear" w:color="auto" w:fill="FFFFFF"/>
        <w:wordWrap w:val="0"/>
        <w:spacing w:before="100" w:beforeAutospacing="1" w:after="100" w:afterAutospacing="1"/>
        <w:jc w:val="center"/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</w:pPr>
      <w:r w:rsidRPr="009C1639"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  <w:t>重庆交通大学</w:t>
      </w:r>
      <w:r w:rsidR="009C1639" w:rsidRPr="009C1639">
        <w:rPr>
          <w:rFonts w:ascii="Tahoma" w:eastAsia="宋体" w:hAnsi="Tahoma" w:cs="Tahoma" w:hint="eastAsia"/>
          <w:b/>
          <w:bCs/>
          <w:color w:val="000000"/>
          <w:kern w:val="36"/>
          <w:sz w:val="30"/>
          <w:szCs w:val="30"/>
        </w:rPr>
        <w:t>土木</w:t>
      </w:r>
      <w:r w:rsidR="009C1639" w:rsidRPr="009C1639"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  <w:t>工程学院</w:t>
      </w:r>
      <w:r w:rsidRPr="009C1639"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  <w:t>201</w:t>
      </w:r>
      <w:r w:rsidR="00AC23F0" w:rsidRPr="009C1639"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  <w:t>8</w:t>
      </w:r>
      <w:r w:rsidRPr="009C1639">
        <w:rPr>
          <w:rFonts w:ascii="Tahoma" w:eastAsia="宋体" w:hAnsi="Tahoma" w:cs="Tahoma"/>
          <w:b/>
          <w:bCs/>
          <w:color w:val="000000"/>
          <w:kern w:val="36"/>
          <w:sz w:val="30"/>
          <w:szCs w:val="30"/>
        </w:rPr>
        <w:t>年非全日制硕士研究生招生调剂</w:t>
      </w:r>
      <w:r w:rsidR="00E10A89" w:rsidRPr="009C1639">
        <w:rPr>
          <w:rFonts w:ascii="Tahoma" w:eastAsia="宋体" w:hAnsi="Tahoma" w:cs="Tahoma" w:hint="eastAsia"/>
          <w:b/>
          <w:bCs/>
          <w:color w:val="000000"/>
          <w:kern w:val="36"/>
          <w:sz w:val="30"/>
          <w:szCs w:val="30"/>
        </w:rPr>
        <w:t>公告</w:t>
      </w:r>
    </w:p>
    <w:p w:rsidR="001F796C" w:rsidRPr="00AC23F0" w:rsidRDefault="001F796C" w:rsidP="00AC23F0">
      <w:pPr>
        <w:widowControl/>
        <w:shd w:val="clear" w:color="auto" w:fill="FFFFFF"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AC23F0">
        <w:rPr>
          <w:rFonts w:ascii="宋体" w:eastAsia="宋体" w:hAnsi="宋体" w:cs="宋体"/>
          <w:color w:val="000000"/>
          <w:kern w:val="0"/>
          <w:sz w:val="24"/>
          <w:szCs w:val="21"/>
        </w:rPr>
        <w:t>201</w:t>
      </w:r>
      <w:r w:rsidR="00AC23F0">
        <w:rPr>
          <w:rFonts w:ascii="宋体" w:eastAsia="宋体" w:hAnsi="宋体" w:cs="宋体"/>
          <w:color w:val="000000"/>
          <w:kern w:val="0"/>
          <w:sz w:val="24"/>
          <w:szCs w:val="21"/>
        </w:rPr>
        <w:t>8</w:t>
      </w:r>
      <w:r w:rsidRPr="00AC23F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年我</w:t>
      </w:r>
      <w:r w:rsidR="009616F5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院</w:t>
      </w:r>
      <w:r w:rsidRPr="00AC23F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硕士研究生招生工作已经开始，我</w:t>
      </w:r>
      <w:r w:rsidR="009616F5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院</w:t>
      </w:r>
      <w:r w:rsidRPr="00AC23F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可接收调剂的</w:t>
      </w:r>
      <w:r w:rsidRPr="00AC23F0">
        <w:rPr>
          <w:rFonts w:ascii="宋体" w:eastAsia="宋体" w:hAnsi="宋体" w:cs="宋体" w:hint="eastAsia"/>
          <w:color w:val="000000"/>
          <w:kern w:val="0"/>
          <w:sz w:val="24"/>
          <w:szCs w:val="21"/>
          <w:u w:val="single"/>
        </w:rPr>
        <w:t>非全日制</w:t>
      </w:r>
      <w:r w:rsidRPr="00AC23F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硕士研究生专业详见下表。热忱欢迎广大优秀考生向我校申请。现将申请相关事宜公布如下：</w:t>
      </w:r>
    </w:p>
    <w:p w:rsidR="001F796C" w:rsidRPr="001F796C" w:rsidRDefault="001F796C" w:rsidP="00202BF2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一、调剂基本条件</w:t>
      </w:r>
    </w:p>
    <w:p w:rsidR="001F796C" w:rsidRPr="001F796C" w:rsidRDefault="001F796C" w:rsidP="00202BF2">
      <w:pPr>
        <w:widowControl/>
        <w:shd w:val="clear" w:color="auto" w:fill="FFFFFF"/>
        <w:wordWrap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目前只接收参加</w:t>
      </w:r>
      <w:r w:rsidR="0085094A">
        <w:rPr>
          <w:rFonts w:ascii="宋体" w:eastAsia="宋体" w:hAnsi="宋体" w:cs="宋体"/>
          <w:color w:val="000000"/>
          <w:kern w:val="0"/>
          <w:sz w:val="24"/>
          <w:szCs w:val="21"/>
        </w:rPr>
        <w:t>我</w:t>
      </w:r>
      <w:r w:rsidR="009616F5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院</w:t>
      </w:r>
      <w:r w:rsidR="0077496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土木</w:t>
      </w:r>
      <w:r w:rsidR="0077496A">
        <w:rPr>
          <w:rFonts w:ascii="宋体" w:eastAsia="宋体" w:hAnsi="宋体" w:cs="宋体"/>
          <w:color w:val="000000"/>
          <w:kern w:val="0"/>
          <w:sz w:val="24"/>
          <w:szCs w:val="21"/>
        </w:rPr>
        <w:t>工程类</w:t>
      </w:r>
      <w:r w:rsidR="0077496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相关专业及领域</w:t>
      </w:r>
      <w:r w:rsidR="0077496A">
        <w:rPr>
          <w:rFonts w:ascii="宋体" w:eastAsia="宋体" w:hAnsi="宋体" w:cs="宋体"/>
          <w:color w:val="000000"/>
          <w:kern w:val="0"/>
          <w:sz w:val="24"/>
          <w:szCs w:val="21"/>
        </w:rPr>
        <w:t>（</w:t>
      </w:r>
      <w:r w:rsidR="0077496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即</w:t>
      </w:r>
      <w:r w:rsidR="0077496A">
        <w:rPr>
          <w:rFonts w:ascii="宋体" w:eastAsia="宋体" w:hAnsi="宋体" w:cs="宋体"/>
          <w:color w:val="000000"/>
          <w:kern w:val="0"/>
          <w:sz w:val="24"/>
          <w:szCs w:val="21"/>
        </w:rPr>
        <w:t>结构工程、防灾减灾工程及防护工程、桥梁与隧道工程和建筑与土木工程）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复试</w:t>
      </w:r>
      <w:r w:rsidR="0085094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且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成绩合格但未在原全日制专业录取的考生申请。</w:t>
      </w:r>
    </w:p>
    <w:p w:rsidR="001F796C" w:rsidRPr="001F796C" w:rsidRDefault="001F796C" w:rsidP="00202BF2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二、调剂起止时间</w:t>
      </w:r>
    </w:p>
    <w:p w:rsidR="001F796C" w:rsidRPr="001F796C" w:rsidRDefault="001F796C" w:rsidP="00102442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调剂起止时间：</w:t>
      </w:r>
      <w:r w:rsidRPr="007749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201</w:t>
      </w:r>
      <w:r w:rsidR="0085094A" w:rsidRPr="0077496A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8</w:t>
      </w:r>
      <w:r w:rsidRPr="007749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年3月30日——201</w:t>
      </w:r>
      <w:r w:rsidR="009F1A00" w:rsidRPr="0077496A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8</w:t>
      </w:r>
      <w:r w:rsidRPr="007749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年4月10日</w:t>
      </w: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重庆交通大学</w:t>
      </w:r>
      <w:r w:rsidR="008878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土木</w:t>
      </w:r>
      <w:r w:rsidR="0088784F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工程学院</w:t>
      </w: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 w:rsidR="0085094A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8</w:t>
      </w: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非全日制</w:t>
      </w:r>
      <w:r w:rsidRPr="001F796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硕士研究生调剂专业</w:t>
      </w:r>
    </w:p>
    <w:tbl>
      <w:tblPr>
        <w:tblW w:w="901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55"/>
        <w:gridCol w:w="1186"/>
        <w:gridCol w:w="1699"/>
        <w:gridCol w:w="1100"/>
        <w:gridCol w:w="1335"/>
        <w:gridCol w:w="2137"/>
      </w:tblGrid>
      <w:tr w:rsidR="001F796C" w:rsidRPr="001F796C" w:rsidTr="001F796C">
        <w:trPr>
          <w:trHeight w:val="743"/>
          <w:tblCellSpacing w:w="0" w:type="dxa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招生学院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1F796C" w:rsidRPr="001F796C" w:rsidTr="001F796C">
        <w:trPr>
          <w:trHeight w:val="960"/>
          <w:tblCellSpacing w:w="0" w:type="dxa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085213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联系人：苏老师</w:t>
            </w:r>
          </w:p>
          <w:p w:rsidR="001F796C" w:rsidRPr="0085094A" w:rsidRDefault="001F796C" w:rsidP="001F79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509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电话：023-62652701</w:t>
            </w:r>
          </w:p>
        </w:tc>
      </w:tr>
    </w:tbl>
    <w:p w:rsidR="001F796C" w:rsidRPr="001F796C" w:rsidRDefault="001F796C" w:rsidP="00412311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三、调剂程序</w:t>
      </w:r>
    </w:p>
    <w:p w:rsidR="001F796C" w:rsidRPr="001F796C" w:rsidRDefault="001F796C" w:rsidP="00412311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所有欲调剂到非全日制专业的考生必须仔细阅读本</w:t>
      </w:r>
      <w:r w:rsidR="00E10A8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公告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并充分知晓非全日制硕士研究生相关事宜，再填写《重庆</w:t>
      </w:r>
      <w:bookmarkStart w:id="0" w:name="_GoBack"/>
      <w:bookmarkEnd w:id="0"/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交通大学201</w:t>
      </w:r>
      <w:r w:rsidR="00202BF2">
        <w:rPr>
          <w:rFonts w:ascii="宋体" w:eastAsia="宋体" w:hAnsi="宋体" w:cs="宋体"/>
          <w:color w:val="000000"/>
          <w:kern w:val="0"/>
          <w:sz w:val="24"/>
          <w:szCs w:val="21"/>
        </w:rPr>
        <w:t>8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年非全日制硕士研究生招生调剂申请表》</w:t>
      </w:r>
      <w:r w:rsidR="00330AC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报</w:t>
      </w:r>
      <w:r w:rsidR="0088784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学校</w:t>
      </w:r>
      <w:r w:rsidR="00330AC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研究生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招</w:t>
      </w:r>
      <w:r w:rsidR="00330AC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生办公室</w:t>
      </w:r>
      <w:r w:rsidR="0088784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审核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，经学校审批同意后方可调剂录取到所申请非全日制专业。</w:t>
      </w:r>
    </w:p>
    <w:p w:rsidR="001F796C" w:rsidRPr="001F796C" w:rsidRDefault="001F796C" w:rsidP="00412311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四、说明</w:t>
      </w:r>
    </w:p>
    <w:p w:rsidR="001F796C" w:rsidRPr="001F796C" w:rsidRDefault="001F796C" w:rsidP="009D2B08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．非全日制硕士研究生指符合国家研究生招生规定，通过研究生招生考试或者国家承认的其他入学方式，被具有实施研究生教育资格的高等学校或其他教育机构录取，在学校规定的修业年限内，在从事其他职业或者社会实践的同时，采取多种方式和灵活时间安排进行非脱产学习的研究生。</w:t>
      </w:r>
    </w:p>
    <w:p w:rsidR="001F796C" w:rsidRPr="001F796C" w:rsidRDefault="001F796C" w:rsidP="009D2B08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2．根据国家相关文件规定，非全日制学生无财政拨款，学费按重庆市物价部门核定标准缴纳。我校非全日制研究生学费暂定为</w:t>
      </w:r>
      <w:r w:rsidRPr="00330AC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15000元</w:t>
      </w: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/年·生（以最终物价局核定标准为准），按三年收取。在学期间不享受国家奖学金、助学金。学校将设立非全日制研究生奖学金，奖励优秀学生。</w:t>
      </w:r>
    </w:p>
    <w:p w:rsidR="001F796C" w:rsidRPr="001F796C" w:rsidRDefault="001F796C" w:rsidP="009D2B08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3．非全日制研究生培养质量、授位标准均按全日制研究生统一要求，</w:t>
      </w:r>
      <w:r w:rsidRPr="001F796C">
        <w:rPr>
          <w:rFonts w:ascii="宋体" w:eastAsia="宋体" w:hAnsi="宋体" w:cs="Times New Roman" w:hint="eastAsia"/>
          <w:color w:val="000000"/>
          <w:kern w:val="0"/>
          <w:sz w:val="24"/>
          <w:szCs w:val="21"/>
        </w:rPr>
        <w:t>毕业时按照国家有关规定发给相应的、注明学习方式的毕业证书（毕业证书上的学习方式注明为“非全日制”）；其学业水平达到国家规定的学位标准，可以申请授予相应的学位证书。</w:t>
      </w:r>
    </w:p>
    <w:p w:rsidR="001F796C" w:rsidRPr="001F796C" w:rsidRDefault="001F796C" w:rsidP="009D2B08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4．非全日制研究生的档案、户口、组织关系不调入我校，学校不提供住宿，学生如需在学校住宿，可向学校申请，学校可以协助解决。</w:t>
      </w:r>
    </w:p>
    <w:p w:rsidR="00AA3268" w:rsidRDefault="001F796C" w:rsidP="0010244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1F796C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5．其他未尽事宜按国家相关规定办理。</w:t>
      </w:r>
    </w:p>
    <w:p w:rsidR="00AA3268" w:rsidRDefault="00AA3268" w:rsidP="00AA326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重庆交通大学201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年非全日制硕士研究生招生</w:t>
      </w:r>
    </w:p>
    <w:p w:rsidR="00AA3268" w:rsidRDefault="00AA3268" w:rsidP="00AA326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调剂申请表</w:t>
      </w:r>
    </w:p>
    <w:p w:rsidR="00AA3268" w:rsidRDefault="00AA3268" w:rsidP="00AA3268">
      <w:pPr>
        <w:jc w:val="center"/>
        <w:rPr>
          <w:rFonts w:ascii="仿宋" w:eastAsia="仿宋" w:hAnsi="仿宋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694"/>
        <w:gridCol w:w="141"/>
        <w:gridCol w:w="1560"/>
        <w:gridCol w:w="3543"/>
      </w:tblGrid>
      <w:tr w:rsidR="00AA3268" w:rsidRPr="0088043F" w:rsidTr="00AA3268">
        <w:trPr>
          <w:trHeight w:val="68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268" w:rsidRPr="0088043F" w:rsidTr="00AA3268">
        <w:trPr>
          <w:trHeight w:val="68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申请调剂学院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土木工程学院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申请调剂非全日制专业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Cs w:val="21"/>
              </w:rPr>
            </w:pPr>
            <w:r w:rsidRPr="0088043F">
              <w:rPr>
                <w:rFonts w:ascii="仿宋" w:eastAsia="仿宋" w:hAnsi="仿宋" w:hint="eastAsia"/>
                <w:szCs w:val="21"/>
              </w:rPr>
              <w:t>085213建筑与土木工程(非全日制)</w:t>
            </w:r>
          </w:p>
        </w:tc>
      </w:tr>
      <w:tr w:rsidR="00AA3268" w:rsidRPr="0088043F" w:rsidTr="00AA3268">
        <w:trPr>
          <w:trHeight w:val="68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原报考单位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原报考专业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268" w:rsidRPr="0088043F" w:rsidTr="00AA3268">
        <w:trPr>
          <w:trHeight w:val="68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初试分数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复试分数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笔试:      面试：  </w:t>
            </w:r>
          </w:p>
        </w:tc>
      </w:tr>
      <w:tr w:rsidR="00AA3268" w:rsidRPr="0088043F" w:rsidTr="00AA3268">
        <w:trPr>
          <w:trHeight w:val="68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本科毕业学校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本科毕业专业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A3268" w:rsidRPr="0088043F" w:rsidTr="00AA3268">
        <w:trPr>
          <w:trHeight w:val="680"/>
          <w:jc w:val="center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工作单位(没有填无)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A3268" w:rsidRPr="0088043F" w:rsidTr="00AA3268">
        <w:trPr>
          <w:trHeight w:val="406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陈</w:t>
            </w: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述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AA3268" w:rsidRPr="0088043F" w:rsidRDefault="00AA3268" w:rsidP="00FE5F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   我已仔细阅读《</w:t>
            </w:r>
            <w:r w:rsidRPr="0088043F">
              <w:rPr>
                <w:rFonts w:ascii="仿宋" w:eastAsia="仿宋" w:hAnsi="仿宋"/>
                <w:sz w:val="24"/>
                <w:szCs w:val="24"/>
              </w:rPr>
              <w:t>重庆</w:t>
            </w:r>
            <w:r w:rsidRPr="0088043F">
              <w:rPr>
                <w:rFonts w:ascii="仿宋" w:eastAsia="仿宋" w:hAnsi="仿宋" w:hint="eastAsia"/>
                <w:sz w:val="24"/>
                <w:szCs w:val="24"/>
              </w:rPr>
              <w:t>交通</w:t>
            </w:r>
            <w:r w:rsidRPr="0088043F">
              <w:rPr>
                <w:rFonts w:ascii="仿宋" w:eastAsia="仿宋" w:hAnsi="仿宋"/>
                <w:sz w:val="24"/>
                <w:szCs w:val="24"/>
              </w:rPr>
              <w:t>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土木</w:t>
            </w:r>
            <w:r>
              <w:rPr>
                <w:rFonts w:ascii="仿宋" w:eastAsia="仿宋" w:hAnsi="仿宋"/>
                <w:sz w:val="24"/>
                <w:szCs w:val="24"/>
              </w:rPr>
              <w:t>工程学院</w:t>
            </w:r>
            <w:r w:rsidRPr="0088043F">
              <w:rPr>
                <w:rFonts w:ascii="仿宋" w:eastAsia="仿宋" w:hAnsi="仿宋"/>
                <w:sz w:val="24"/>
                <w:szCs w:val="24"/>
              </w:rPr>
              <w:t>2018年非全日制硕士</w:t>
            </w:r>
            <w:r w:rsidRPr="0088043F">
              <w:rPr>
                <w:rFonts w:ascii="仿宋" w:eastAsia="仿宋" w:hAnsi="仿宋" w:hint="eastAsia"/>
                <w:sz w:val="24"/>
                <w:szCs w:val="24"/>
              </w:rPr>
              <w:t>研究生招生调剂</w:t>
            </w:r>
            <w:r w:rsidRPr="0088043F">
              <w:rPr>
                <w:rFonts w:ascii="仿宋" w:eastAsia="仿宋" w:hAnsi="仿宋"/>
                <w:sz w:val="24"/>
                <w:szCs w:val="24"/>
              </w:rPr>
              <w:t>公告</w:t>
            </w:r>
            <w:r w:rsidRPr="0088043F">
              <w:rPr>
                <w:rFonts w:ascii="仿宋" w:eastAsia="仿宋" w:hAnsi="仿宋" w:hint="eastAsia"/>
                <w:sz w:val="24"/>
                <w:szCs w:val="24"/>
              </w:rPr>
              <w:t>》，充分知晓并认同其中所述各项事宜，现自愿申请调剂到以上非全日制专业，请学校批准同意。</w:t>
            </w:r>
          </w:p>
          <w:p w:rsidR="00AA3268" w:rsidRPr="0088043F" w:rsidRDefault="00AA3268" w:rsidP="00FE5FD4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idowControl/>
              <w:wordWrap w:val="0"/>
              <w:snapToGrid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申请人签字：               </w:t>
            </w:r>
          </w:p>
          <w:p w:rsidR="00AA3268" w:rsidRPr="0088043F" w:rsidRDefault="00AA3268" w:rsidP="00FE5FD4">
            <w:pPr>
              <w:widowControl/>
              <w:snapToGrid w:val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idowControl/>
              <w:wordWrap w:val="0"/>
              <w:snapToGrid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年      月     日     </w:t>
            </w:r>
          </w:p>
          <w:p w:rsidR="00AA3268" w:rsidRPr="0088043F" w:rsidRDefault="00AA3268" w:rsidP="00FE5F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268" w:rsidRPr="0088043F" w:rsidTr="00AA3268">
        <w:trPr>
          <w:trHeight w:val="35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年   月   日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>学校意见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A3268" w:rsidRPr="0088043F" w:rsidRDefault="00AA3268" w:rsidP="00FE5FD4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8043F">
              <w:rPr>
                <w:rFonts w:ascii="仿宋" w:eastAsia="仿宋" w:hAnsi="仿宋" w:hint="eastAsia"/>
                <w:sz w:val="24"/>
                <w:szCs w:val="24"/>
              </w:rPr>
              <w:t xml:space="preserve">年   月   日  </w:t>
            </w:r>
          </w:p>
        </w:tc>
      </w:tr>
    </w:tbl>
    <w:p w:rsidR="004975F7" w:rsidRPr="001F796C" w:rsidRDefault="004975F7" w:rsidP="00AA3268">
      <w:pPr>
        <w:spacing w:line="360" w:lineRule="auto"/>
        <w:ind w:firstLineChars="200" w:firstLine="420"/>
      </w:pPr>
    </w:p>
    <w:sectPr w:rsidR="004975F7" w:rsidRPr="001F796C" w:rsidSect="00102442">
      <w:pgSz w:w="11906" w:h="16838"/>
      <w:pgMar w:top="737" w:right="907" w:bottom="79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D1" w:rsidRDefault="00D776D1" w:rsidP="00E10A89">
      <w:r>
        <w:separator/>
      </w:r>
    </w:p>
  </w:endnote>
  <w:endnote w:type="continuationSeparator" w:id="1">
    <w:p w:rsidR="00D776D1" w:rsidRDefault="00D776D1" w:rsidP="00E1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D1" w:rsidRDefault="00D776D1" w:rsidP="00E10A89">
      <w:r>
        <w:separator/>
      </w:r>
    </w:p>
  </w:footnote>
  <w:footnote w:type="continuationSeparator" w:id="1">
    <w:p w:rsidR="00D776D1" w:rsidRDefault="00D776D1" w:rsidP="00E10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29"/>
    <w:rsid w:val="000B35F4"/>
    <w:rsid w:val="00102442"/>
    <w:rsid w:val="00127B93"/>
    <w:rsid w:val="00140365"/>
    <w:rsid w:val="001F796C"/>
    <w:rsid w:val="00202BF2"/>
    <w:rsid w:val="002057B3"/>
    <w:rsid w:val="00330ACF"/>
    <w:rsid w:val="00331630"/>
    <w:rsid w:val="00344476"/>
    <w:rsid w:val="00412311"/>
    <w:rsid w:val="004271E8"/>
    <w:rsid w:val="00456EF4"/>
    <w:rsid w:val="00497229"/>
    <w:rsid w:val="004975F7"/>
    <w:rsid w:val="00515BBF"/>
    <w:rsid w:val="00607E4A"/>
    <w:rsid w:val="006804AD"/>
    <w:rsid w:val="0077496A"/>
    <w:rsid w:val="007C657D"/>
    <w:rsid w:val="00831AF8"/>
    <w:rsid w:val="0085094A"/>
    <w:rsid w:val="0088784F"/>
    <w:rsid w:val="008950A7"/>
    <w:rsid w:val="008D19B4"/>
    <w:rsid w:val="009616F5"/>
    <w:rsid w:val="009C1639"/>
    <w:rsid w:val="009D2B08"/>
    <w:rsid w:val="009D3B20"/>
    <w:rsid w:val="009F1A00"/>
    <w:rsid w:val="00AA3268"/>
    <w:rsid w:val="00AC23F0"/>
    <w:rsid w:val="00C07C98"/>
    <w:rsid w:val="00CE5217"/>
    <w:rsid w:val="00D776D1"/>
    <w:rsid w:val="00E10A89"/>
    <w:rsid w:val="00E3517C"/>
    <w:rsid w:val="00E6015E"/>
    <w:rsid w:val="00E85B0E"/>
    <w:rsid w:val="00EA4487"/>
    <w:rsid w:val="00EB0148"/>
    <w:rsid w:val="00EF4C18"/>
    <w:rsid w:val="00FA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93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BC9E1"/>
                    <w:bottom w:val="single" w:sz="6" w:space="0" w:color="ABC9E1"/>
                    <w:right w:val="single" w:sz="6" w:space="0" w:color="ABC9E1"/>
                  </w:divBdr>
                  <w:divsChild>
                    <w:div w:id="8146141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0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192</Words>
  <Characters>1098</Characters>
  <Application>Microsoft Office Word</Application>
  <DocSecurity>0</DocSecurity>
  <Lines>9</Lines>
  <Paragraphs>2</Paragraphs>
  <ScaleCrop>false</ScaleCrop>
  <Company>Sky123.Org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</cp:lastModifiedBy>
  <cp:revision>47</cp:revision>
  <cp:lastPrinted>2018-03-30T00:04:00Z</cp:lastPrinted>
  <dcterms:created xsi:type="dcterms:W3CDTF">2018-03-28T01:09:00Z</dcterms:created>
  <dcterms:modified xsi:type="dcterms:W3CDTF">2018-03-30T00:04:00Z</dcterms:modified>
</cp:coreProperties>
</file>