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300" w:beforeAutospacing="0" w:after="300" w:afterAutospacing="0"/>
        <w:ind w:left="0" w:right="0"/>
        <w:jc w:val="center"/>
        <w:rPr>
          <w:color w:val="666666"/>
          <w:sz w:val="24"/>
          <w:szCs w:val="24"/>
        </w:rPr>
      </w:pPr>
      <w:bookmarkStart w:id="0" w:name="_GoBack"/>
      <w:r>
        <w:rPr>
          <w:b/>
          <w:sz w:val="39"/>
          <w:szCs w:val="39"/>
        </w:rPr>
        <w:t>太原师范学院地理科学学院2019年硕士研究生接收调剂细则</w:t>
      </w:r>
    </w:p>
    <w:bookmarkEnd w:id="0"/>
    <w:p>
      <w:pPr>
        <w:pStyle w:val="3"/>
        <w:keepNext w:val="0"/>
        <w:keepLines w:val="0"/>
        <w:widowControl/>
        <w:suppressLineNumbers w:val="0"/>
        <w:wordWrap w:val="0"/>
        <w:spacing w:before="0" w:beforeAutospacing="0" w:after="210" w:afterAutospacing="0" w:line="450" w:lineRule="atLeast"/>
        <w:ind w:left="0" w:right="0" w:firstLine="600"/>
        <w:rPr>
          <w:color w:val="666666"/>
          <w:sz w:val="24"/>
          <w:szCs w:val="24"/>
        </w:rPr>
      </w:pPr>
      <w:r>
        <w:rPr>
          <w:rStyle w:val="6"/>
          <w:rFonts w:hint="eastAsia" w:ascii="宋体" w:hAnsi="宋体" w:eastAsia="宋体" w:cs="宋体"/>
          <w:color w:val="333333"/>
          <w:sz w:val="30"/>
          <w:szCs w:val="30"/>
        </w:rPr>
        <w:t>地理科学学院2019年硕士研究生招生调剂信息公布如下：</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Style w:val="6"/>
          <w:rFonts w:hint="eastAsia" w:ascii="宋体" w:hAnsi="宋体" w:eastAsia="宋体" w:cs="宋体"/>
          <w:color w:val="333333"/>
          <w:sz w:val="28"/>
          <w:szCs w:val="28"/>
        </w:rPr>
        <w:t>一、调剂要求 </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1、调剂考生须符合教育部及我校招生简章中规定的调入专业的报考条件。</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2、初试成绩(单科与总成绩)达到国家统一划定的一类地区的《全国初试成绩基本要求》。</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3、考生第一志愿报考专业须与拟调入我院专业相同或相近，其中统考科目原则上应相同。</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4、考分相同，优先调入985或211高校、或“双一流”建设高校(学科)、或中国科学院大学及中国科学院各个研究所的学生。</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5、全日制研究生不接受同等学力考生(专科考生、成人应届本科考生、复试时尚未取得本科毕业证的自考和网络教育考生、本科结业考生)调剂。</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6、所有拟调剂到我校的考生必须保证学籍、学历的真实准确，若出现学籍学历问题导致不能录取将由考生本人承担全部责任。</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7、接收调剂按专业和方向划分,总分由高到低排列。</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自然地理学专业（资源评价与开发方向）调剂名额：10</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人文地理学专业（区域历史环境变迁）调剂名额：5</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人文地理学专业（城市地理与城乡规划）调剂名额：3</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人文地理学专业（旅游地理与旅游规划）调剂名额：7</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8、按照调剂名额1:3比例进入复试。</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Style w:val="6"/>
          <w:rFonts w:hint="eastAsia" w:ascii="宋体" w:hAnsi="宋体" w:eastAsia="宋体" w:cs="宋体"/>
          <w:color w:val="333333"/>
          <w:sz w:val="28"/>
          <w:szCs w:val="28"/>
        </w:rPr>
        <w:t>二、可接收调剂专业</w:t>
      </w:r>
    </w:p>
    <w:tbl>
      <w:tblPr>
        <w:tblW w:w="85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50"/>
        <w:gridCol w:w="2622"/>
        <w:gridCol w:w="3253"/>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5" w:hRule="atLeast"/>
          <w:tblCellSpacing w:w="0" w:type="dxa"/>
        </w:trPr>
        <w:tc>
          <w:tcPr>
            <w:tcW w:w="10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Style w:val="6"/>
                <w:rFonts w:hint="eastAsia" w:ascii="宋体" w:hAnsi="宋体" w:eastAsia="宋体" w:cs="宋体"/>
                <w:color w:val="666666"/>
                <w:sz w:val="24"/>
                <w:szCs w:val="24"/>
              </w:rPr>
              <w:t>学科</w:t>
            </w:r>
          </w:p>
        </w:tc>
        <w:tc>
          <w:tcPr>
            <w:tcW w:w="262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Style w:val="6"/>
                <w:rFonts w:hint="eastAsia" w:ascii="宋体" w:hAnsi="宋体" w:eastAsia="宋体" w:cs="宋体"/>
                <w:color w:val="666666"/>
                <w:sz w:val="24"/>
                <w:szCs w:val="24"/>
              </w:rPr>
              <w:t>专业代码与专业名称</w:t>
            </w:r>
          </w:p>
        </w:tc>
        <w:tc>
          <w:tcPr>
            <w:tcW w:w="325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Style w:val="6"/>
                <w:rFonts w:hint="eastAsia" w:ascii="宋体" w:hAnsi="宋体" w:eastAsia="宋体" w:cs="宋体"/>
                <w:color w:val="666666"/>
                <w:sz w:val="24"/>
                <w:szCs w:val="24"/>
              </w:rPr>
              <w:t>研究方向代码名称</w:t>
            </w:r>
          </w:p>
        </w:tc>
        <w:tc>
          <w:tcPr>
            <w:tcW w:w="16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Style w:val="6"/>
                <w:rFonts w:hint="eastAsia" w:ascii="宋体" w:hAnsi="宋体" w:eastAsia="宋体" w:cs="宋体"/>
                <w:color w:val="666666"/>
                <w:sz w:val="24"/>
                <w:szCs w:val="24"/>
              </w:rPr>
              <w:t>学习形式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5" w:hRule="atLeast"/>
          <w:tblCellSpacing w:w="0" w:type="dxa"/>
        </w:trPr>
        <w:tc>
          <w:tcPr>
            <w:tcW w:w="1050"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666666"/>
                <w:sz w:val="24"/>
                <w:szCs w:val="24"/>
              </w:rPr>
              <w:t>0705  </w:t>
            </w:r>
            <w:r>
              <w:rPr>
                <w:rFonts w:hint="eastAsia" w:ascii="宋体" w:hAnsi="宋体" w:eastAsia="宋体" w:cs="宋体"/>
                <w:color w:val="666666"/>
                <w:sz w:val="24"/>
                <w:szCs w:val="24"/>
              </w:rPr>
              <w:br w:type="textWrapping"/>
            </w:r>
            <w:r>
              <w:rPr>
                <w:rFonts w:hint="eastAsia" w:ascii="宋体" w:hAnsi="宋体" w:eastAsia="宋体" w:cs="宋体"/>
                <w:color w:val="666666"/>
                <w:sz w:val="24"/>
                <w:szCs w:val="24"/>
              </w:rPr>
              <w:t>地</w:t>
            </w:r>
          </w:p>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666666"/>
                <w:sz w:val="24"/>
                <w:szCs w:val="24"/>
              </w:rPr>
              <w:t>理</w:t>
            </w:r>
          </w:p>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666666"/>
                <w:sz w:val="24"/>
                <w:szCs w:val="24"/>
              </w:rPr>
              <w:t>学</w:t>
            </w:r>
          </w:p>
        </w:tc>
        <w:tc>
          <w:tcPr>
            <w:tcW w:w="262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666666"/>
                <w:sz w:val="24"/>
                <w:szCs w:val="24"/>
              </w:rPr>
              <w:t> 070501  自然地理学</w:t>
            </w:r>
          </w:p>
        </w:tc>
        <w:tc>
          <w:tcPr>
            <w:tcW w:w="325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Style w:val="6"/>
                <w:rFonts w:hint="eastAsia" w:ascii="宋体" w:hAnsi="宋体" w:eastAsia="宋体" w:cs="宋体"/>
                <w:color w:val="666666"/>
                <w:sz w:val="24"/>
                <w:szCs w:val="24"/>
              </w:rPr>
              <w:t>01 资源评价与开发</w:t>
            </w:r>
          </w:p>
        </w:tc>
        <w:tc>
          <w:tcPr>
            <w:tcW w:w="16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after="210" w:afterAutospacing="0" w:line="450" w:lineRule="atLeast"/>
              <w:jc w:val="left"/>
              <w:rPr>
                <w:color w:val="666666"/>
                <w:sz w:val="24"/>
                <w:szCs w:val="24"/>
              </w:rPr>
            </w:pPr>
            <w:r>
              <w:rPr>
                <w:rFonts w:hint="eastAsia" w:ascii="宋体" w:hAnsi="宋体" w:eastAsia="宋体" w:cs="宋体"/>
                <w:color w:val="666666"/>
                <w:sz w:val="21"/>
                <w:szCs w:val="21"/>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25" w:hRule="atLeast"/>
          <w:tblCellSpacing w:w="0" w:type="dxa"/>
        </w:trPr>
        <w:tc>
          <w:tcPr>
            <w:tcW w:w="1050"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eastAsia" w:ascii="helvetica" w:hAnsi="helvetica" w:eastAsia="helvetica" w:cs="helvetica"/>
                <w:color w:val="333333"/>
                <w:sz w:val="21"/>
                <w:szCs w:val="21"/>
              </w:rPr>
            </w:pPr>
          </w:p>
        </w:tc>
        <w:tc>
          <w:tcPr>
            <w:tcW w:w="2622"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666666"/>
                <w:sz w:val="24"/>
                <w:szCs w:val="24"/>
              </w:rPr>
              <w:t> 070502  人文地理学</w:t>
            </w:r>
          </w:p>
          <w:p>
            <w:pPr>
              <w:pStyle w:val="3"/>
              <w:keepNext w:val="0"/>
              <w:keepLines w:val="0"/>
              <w:widowControl/>
              <w:suppressLineNumbers w:val="0"/>
              <w:spacing w:after="210" w:afterAutospacing="0" w:line="435" w:lineRule="atLeast"/>
              <w:jc w:val="left"/>
              <w:rPr>
                <w:color w:val="666666"/>
                <w:sz w:val="24"/>
                <w:szCs w:val="24"/>
              </w:rPr>
            </w:pPr>
          </w:p>
          <w:p>
            <w:pPr>
              <w:pStyle w:val="3"/>
              <w:keepNext w:val="0"/>
              <w:keepLines w:val="0"/>
              <w:widowControl/>
              <w:suppressLineNumbers w:val="0"/>
              <w:spacing w:after="210" w:afterAutospacing="0" w:line="435" w:lineRule="atLeast"/>
              <w:jc w:val="left"/>
              <w:rPr>
                <w:color w:val="666666"/>
                <w:sz w:val="24"/>
                <w:szCs w:val="24"/>
              </w:rPr>
            </w:pPr>
          </w:p>
        </w:tc>
        <w:tc>
          <w:tcPr>
            <w:tcW w:w="325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Style w:val="6"/>
                <w:rFonts w:hint="eastAsia" w:ascii="宋体" w:hAnsi="宋体" w:eastAsia="宋体" w:cs="宋体"/>
                <w:color w:val="666666"/>
                <w:sz w:val="24"/>
                <w:szCs w:val="24"/>
              </w:rPr>
              <w:t>01  区域历史环境变迁</w:t>
            </w:r>
          </w:p>
        </w:tc>
        <w:tc>
          <w:tcPr>
            <w:tcW w:w="16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after="210" w:afterAutospacing="0" w:line="450" w:lineRule="atLeast"/>
              <w:jc w:val="left"/>
              <w:rPr>
                <w:color w:val="666666"/>
                <w:sz w:val="24"/>
                <w:szCs w:val="24"/>
              </w:rPr>
            </w:pPr>
            <w:r>
              <w:rPr>
                <w:rFonts w:hint="eastAsia" w:ascii="宋体" w:hAnsi="宋体" w:eastAsia="宋体" w:cs="宋体"/>
                <w:color w:val="666666"/>
                <w:sz w:val="21"/>
                <w:szCs w:val="21"/>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25" w:hRule="atLeast"/>
          <w:tblCellSpacing w:w="0" w:type="dxa"/>
        </w:trPr>
        <w:tc>
          <w:tcPr>
            <w:tcW w:w="1050"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2622"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25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Style w:val="6"/>
                <w:rFonts w:hint="eastAsia" w:ascii="宋体" w:hAnsi="宋体" w:eastAsia="宋体" w:cs="宋体"/>
                <w:color w:val="666666"/>
                <w:sz w:val="24"/>
                <w:szCs w:val="24"/>
              </w:rPr>
              <w:t>02  城市地理与城乡规划</w:t>
            </w:r>
          </w:p>
        </w:tc>
        <w:tc>
          <w:tcPr>
            <w:tcW w:w="16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after="210" w:afterAutospacing="0" w:line="450" w:lineRule="atLeast"/>
              <w:jc w:val="left"/>
              <w:rPr>
                <w:color w:val="666666"/>
                <w:sz w:val="24"/>
                <w:szCs w:val="24"/>
              </w:rPr>
            </w:pPr>
            <w:r>
              <w:rPr>
                <w:rFonts w:hint="eastAsia" w:ascii="宋体" w:hAnsi="宋体" w:eastAsia="宋体" w:cs="宋体"/>
                <w:color w:val="666666"/>
                <w:sz w:val="21"/>
                <w:szCs w:val="21"/>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90" w:hRule="atLeast"/>
          <w:tblCellSpacing w:w="0" w:type="dxa"/>
        </w:trPr>
        <w:tc>
          <w:tcPr>
            <w:tcW w:w="1050"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2622"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25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Style w:val="6"/>
                <w:rFonts w:hint="eastAsia" w:ascii="宋体" w:hAnsi="宋体" w:eastAsia="宋体" w:cs="宋体"/>
                <w:color w:val="666666"/>
                <w:sz w:val="24"/>
                <w:szCs w:val="24"/>
              </w:rPr>
              <w:t>03  旅游地理与旅游规划</w:t>
            </w:r>
          </w:p>
        </w:tc>
        <w:tc>
          <w:tcPr>
            <w:tcW w:w="16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after="210" w:afterAutospacing="0" w:line="450" w:lineRule="atLeast"/>
              <w:jc w:val="left"/>
              <w:rPr>
                <w:color w:val="666666"/>
                <w:sz w:val="24"/>
                <w:szCs w:val="24"/>
              </w:rPr>
            </w:pPr>
            <w:r>
              <w:rPr>
                <w:rFonts w:hint="eastAsia" w:ascii="宋体" w:hAnsi="宋体" w:eastAsia="宋体" w:cs="宋体"/>
                <w:color w:val="666666"/>
                <w:sz w:val="21"/>
                <w:szCs w:val="21"/>
              </w:rPr>
              <w:t>全日制</w:t>
            </w:r>
          </w:p>
        </w:tc>
      </w:tr>
    </w:tbl>
    <w:p>
      <w:pPr>
        <w:pStyle w:val="3"/>
        <w:keepNext w:val="0"/>
        <w:keepLines w:val="0"/>
        <w:widowControl/>
        <w:suppressLineNumbers w:val="0"/>
        <w:wordWrap w:val="0"/>
        <w:spacing w:before="0" w:beforeAutospacing="0" w:after="0" w:afterAutospacing="0" w:line="465" w:lineRule="atLeast"/>
        <w:ind w:left="0" w:right="0"/>
        <w:rPr>
          <w:color w:val="666666"/>
          <w:sz w:val="24"/>
          <w:szCs w:val="24"/>
        </w:rPr>
      </w:pPr>
      <w:r>
        <w:rPr>
          <w:rStyle w:val="6"/>
          <w:rFonts w:ascii="Arial" w:hAnsi="Arial" w:cs="Arial"/>
          <w:color w:val="666666"/>
          <w:sz w:val="21"/>
          <w:szCs w:val="21"/>
        </w:rPr>
        <w:t> </w:t>
      </w:r>
    </w:p>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Fonts w:hint="eastAsia" w:ascii="宋体" w:hAnsi="宋体" w:eastAsia="宋体" w:cs="宋体"/>
          <w:color w:val="666666"/>
          <w:sz w:val="28"/>
          <w:szCs w:val="28"/>
        </w:rPr>
        <w:t>联系方式：</w:t>
      </w:r>
    </w:p>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Fonts w:hint="eastAsia" w:ascii="宋体" w:hAnsi="宋体" w:eastAsia="宋体" w:cs="宋体"/>
          <w:color w:val="666666"/>
          <w:sz w:val="28"/>
          <w:szCs w:val="28"/>
        </w:rPr>
        <w:t>贾培煜电话：15903463633     邮箱：</w:t>
      </w:r>
      <w:r>
        <w:rPr>
          <w:rFonts w:ascii="Calibri" w:hAnsi="Calibri" w:eastAsia="宋体" w:cs="Calibri"/>
          <w:color w:val="666666"/>
          <w:sz w:val="28"/>
          <w:szCs w:val="28"/>
        </w:rPr>
        <w:t>95205023@qq.com</w:t>
      </w:r>
    </w:p>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Fonts w:hint="eastAsia" w:ascii="宋体" w:hAnsi="宋体" w:eastAsia="宋体" w:cs="宋体"/>
          <w:color w:val="666666"/>
          <w:sz w:val="28"/>
          <w:szCs w:val="28"/>
        </w:rPr>
        <w:t>刘敏电话：13099051563     </w:t>
      </w:r>
    </w:p>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Fonts w:hint="default" w:ascii="Calibri" w:hAnsi="Calibri" w:cs="Calibri"/>
          <w:color w:val="666666"/>
          <w:sz w:val="28"/>
          <w:szCs w:val="28"/>
        </w:rPr>
        <w:t> </w:t>
      </w:r>
    </w:p>
    <w:p>
      <w:pPr>
        <w:pStyle w:val="3"/>
        <w:keepNext w:val="0"/>
        <w:keepLines w:val="0"/>
        <w:widowControl/>
        <w:suppressLineNumbers w:val="0"/>
        <w:wordWrap w:val="0"/>
        <w:spacing w:before="0" w:beforeAutospacing="0" w:after="210" w:afterAutospacing="0" w:line="450" w:lineRule="atLeast"/>
        <w:ind w:left="0" w:right="0"/>
        <w:jc w:val="center"/>
        <w:rPr>
          <w:color w:val="666666"/>
          <w:sz w:val="24"/>
          <w:szCs w:val="24"/>
        </w:rPr>
      </w:pPr>
      <w:r>
        <w:rPr>
          <w:rFonts w:hint="eastAsia" w:ascii="宋体" w:hAnsi="宋体" w:eastAsia="宋体" w:cs="宋体"/>
          <w:color w:val="666666"/>
          <w:sz w:val="28"/>
          <w:szCs w:val="28"/>
        </w:rPr>
        <w:t>                                          地理科学学院</w:t>
      </w:r>
    </w:p>
    <w:p>
      <w:pPr>
        <w:pStyle w:val="3"/>
        <w:keepNext w:val="0"/>
        <w:keepLines w:val="0"/>
        <w:widowControl/>
        <w:suppressLineNumbers w:val="0"/>
        <w:wordWrap w:val="0"/>
        <w:spacing w:before="0" w:beforeAutospacing="0" w:after="210" w:afterAutospacing="0" w:line="450" w:lineRule="atLeast"/>
        <w:ind w:left="0" w:right="0"/>
        <w:jc w:val="right"/>
        <w:rPr>
          <w:color w:val="666666"/>
          <w:sz w:val="24"/>
          <w:szCs w:val="24"/>
        </w:rPr>
      </w:pPr>
      <w:r>
        <w:rPr>
          <w:rFonts w:hint="eastAsia" w:ascii="宋体" w:hAnsi="宋体" w:eastAsia="宋体" w:cs="宋体"/>
          <w:color w:val="666666"/>
          <w:sz w:val="28"/>
          <w:szCs w:val="28"/>
        </w:rPr>
        <w:t>2019年</w:t>
      </w:r>
      <w:r>
        <w:rPr>
          <w:rFonts w:hint="default" w:ascii="Calibri" w:hAnsi="Calibri" w:eastAsia="宋体" w:cs="Calibri"/>
          <w:color w:val="666666"/>
          <w:sz w:val="28"/>
          <w:szCs w:val="28"/>
        </w:rPr>
        <w:t>3</w:t>
      </w:r>
      <w:r>
        <w:rPr>
          <w:rFonts w:hint="eastAsia" w:ascii="宋体" w:hAnsi="宋体" w:eastAsia="宋体" w:cs="宋体"/>
          <w:color w:val="666666"/>
          <w:sz w:val="28"/>
          <w:szCs w:val="28"/>
        </w:rPr>
        <w:t>月</w:t>
      </w:r>
      <w:r>
        <w:rPr>
          <w:rFonts w:hint="default" w:ascii="Calibri" w:hAnsi="Calibri" w:eastAsia="宋体" w:cs="Calibri"/>
          <w:color w:val="666666"/>
          <w:sz w:val="28"/>
          <w:szCs w:val="28"/>
        </w:rPr>
        <w:t>20</w:t>
      </w:r>
      <w:r>
        <w:rPr>
          <w:rFonts w:hint="eastAsia" w:ascii="宋体" w:hAnsi="宋体" w:eastAsia="宋体" w:cs="宋体"/>
          <w:color w:val="666666"/>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E71DC"/>
    <w:rsid w:val="1EE25614"/>
    <w:rsid w:val="21CF77B5"/>
    <w:rsid w:val="22FB184C"/>
    <w:rsid w:val="25F0179D"/>
    <w:rsid w:val="2F3C1C2A"/>
    <w:rsid w:val="312C6E1D"/>
    <w:rsid w:val="35E8045B"/>
    <w:rsid w:val="4A5C4992"/>
    <w:rsid w:val="72651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1787E0"/>
      <w:u w:val="none"/>
    </w:rPr>
  </w:style>
  <w:style w:type="character" w:styleId="8">
    <w:name w:val="Hyperlink"/>
    <w:basedOn w:val="5"/>
    <w:qFormat/>
    <w:uiPriority w:val="0"/>
    <w:rPr>
      <w:color w:val="1787E0"/>
      <w:u w:val="none"/>
    </w:rPr>
  </w:style>
  <w:style w:type="character" w:customStyle="1" w:styleId="9">
    <w:name w:val="first-child"/>
    <w:basedOn w:val="5"/>
    <w:qFormat/>
    <w:uiPriority w:val="0"/>
  </w:style>
  <w:style w:type="character" w:customStyle="1" w:styleId="10">
    <w:name w:val="layui-layer-tabnow"/>
    <w:basedOn w:val="5"/>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2019-03-21T02:16:07Z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