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spacing w:before="300" w:beforeAutospacing="0" w:after="300" w:afterAutospacing="0"/>
        <w:ind w:left="0" w:right="0"/>
        <w:jc w:val="center"/>
        <w:rPr>
          <w:color w:val="666666"/>
          <w:sz w:val="24"/>
          <w:szCs w:val="24"/>
        </w:rPr>
      </w:pPr>
      <w:r>
        <w:rPr>
          <w:b/>
          <w:sz w:val="39"/>
          <w:szCs w:val="39"/>
        </w:rPr>
        <w:t>太原师范学院教师教育学院2019年教育硕士专业学位研究生招生调剂信息公告</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根据教育部《2019年全国硕士研究生招生工作管理规定》（教学（2018）5号）及《关于进一步规范和加强研究生考试招生工作的通知》文件精神，按照太原师范学院2019年招收硕士研究生复试办法，依据公平、公正、公开的原则，综合考虑太原师范学院现有教育硕士各方向的特异性及本科修读专业的基础性等因素，特制定太原师范学院2019年教育硕士专业学位研究生调剂实施细则：</w:t>
      </w:r>
    </w:p>
    <w:p>
      <w:pPr>
        <w:pStyle w:val="3"/>
        <w:keepNext w:val="0"/>
        <w:keepLines w:val="0"/>
        <w:widowControl/>
        <w:suppressLineNumbers w:val="0"/>
        <w:wordWrap w:val="0"/>
        <w:spacing w:before="0" w:beforeAutospacing="0" w:after="210" w:afterAutospacing="0" w:line="495" w:lineRule="atLeast"/>
        <w:ind w:left="0" w:right="0"/>
        <w:rPr>
          <w:color w:val="666666"/>
          <w:sz w:val="24"/>
          <w:szCs w:val="24"/>
        </w:rPr>
      </w:pPr>
      <w:r>
        <w:rPr>
          <w:rStyle w:val="6"/>
          <w:rFonts w:hint="eastAsia" w:ascii="宋体" w:hAnsi="宋体" w:eastAsia="宋体" w:cs="宋体"/>
          <w:color w:val="666666"/>
          <w:sz w:val="28"/>
          <w:szCs w:val="28"/>
        </w:rPr>
        <w:t>（一）分数线确定的基本要求</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符合教育部规定的报考地处一区招生单位的2019年全国硕士研究生招生考试进入复试的初试成绩基本要求。</w:t>
      </w:r>
    </w:p>
    <w:p>
      <w:pPr>
        <w:pStyle w:val="3"/>
        <w:keepNext w:val="0"/>
        <w:keepLines w:val="0"/>
        <w:widowControl/>
        <w:suppressLineNumbers w:val="0"/>
        <w:wordWrap w:val="0"/>
        <w:spacing w:before="0" w:beforeAutospacing="0" w:after="210" w:afterAutospacing="0" w:line="495" w:lineRule="atLeast"/>
        <w:ind w:left="0" w:right="0"/>
        <w:rPr>
          <w:color w:val="666666"/>
          <w:sz w:val="24"/>
          <w:szCs w:val="24"/>
        </w:rPr>
      </w:pPr>
      <w:r>
        <w:rPr>
          <w:rFonts w:hint="eastAsia" w:ascii="宋体" w:hAnsi="宋体" w:eastAsia="宋体" w:cs="宋体"/>
          <w:b/>
          <w:color w:val="666666"/>
          <w:sz w:val="28"/>
          <w:szCs w:val="28"/>
        </w:rPr>
        <w:t>（二）</w:t>
      </w:r>
      <w:r>
        <w:rPr>
          <w:rStyle w:val="6"/>
          <w:rFonts w:hint="eastAsia" w:ascii="宋体" w:hAnsi="宋体" w:eastAsia="宋体" w:cs="宋体"/>
          <w:color w:val="666666"/>
          <w:sz w:val="28"/>
          <w:szCs w:val="28"/>
        </w:rPr>
        <w:t>调剂比例确定及细则</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根据教育部《2019年全国硕士研究生招生工作管理规定》（教学（2018）5号）第五十三条，我校确定调剂差额比例不低于200%安排复试。具体实施细则：</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1.分别排序原则：报考我院现有教育硕士5个方向</w:t>
      </w:r>
      <w:r>
        <w:rPr>
          <w:rFonts w:ascii="Calibri" w:hAnsi="Calibri" w:eastAsia="宋体" w:cs="Calibri"/>
          <w:color w:val="666666"/>
          <w:sz w:val="28"/>
          <w:szCs w:val="28"/>
        </w:rPr>
        <w:t>(</w:t>
      </w:r>
      <w:r>
        <w:rPr>
          <w:rFonts w:hint="eastAsia" w:ascii="宋体" w:hAnsi="宋体" w:eastAsia="宋体" w:cs="宋体"/>
          <w:color w:val="666666"/>
          <w:sz w:val="28"/>
          <w:szCs w:val="28"/>
        </w:rPr>
        <w:t>语文、数学、物理、化学、地理)的考生成绩分别排序。</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2.专业背景一致优先原则：原则上优先接受本科修读专业与所调剂专业方向相同或相近；原则上优先接受第一志愿所报考专业与所调剂专业方向相同或相近。</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例如：学科教学（语文）方向优先接受本科为汉语言文学专业（含方向）的调剂，优先接受第一志愿所报考专业为学科教学（语文）、课程与教学论（语文）的调剂。</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3.附则：初试科目与调入专业初试科目相同或相近，其中统考科目原则上应当相同；同等条件下，原则上按照考生的初试总成绩为标准发放复试通知，初试总成绩相同的情况下以初试政治及英语的总和为标准排序，满额为止。</w:t>
      </w:r>
    </w:p>
    <w:p>
      <w:pPr>
        <w:pStyle w:val="3"/>
        <w:keepNext w:val="0"/>
        <w:keepLines w:val="0"/>
        <w:widowControl/>
        <w:suppressLineNumbers w:val="0"/>
        <w:wordWrap w:val="0"/>
        <w:spacing w:before="0" w:beforeAutospacing="0" w:after="210" w:afterAutospacing="0" w:line="495" w:lineRule="atLeast"/>
        <w:ind w:left="0" w:right="0" w:firstLine="555"/>
        <w:rPr>
          <w:color w:val="666666"/>
          <w:sz w:val="24"/>
          <w:szCs w:val="24"/>
        </w:rPr>
      </w:pPr>
      <w:r>
        <w:rPr>
          <w:rFonts w:hint="eastAsia" w:ascii="宋体" w:hAnsi="宋体" w:eastAsia="宋体" w:cs="宋体"/>
          <w:color w:val="666666"/>
          <w:sz w:val="28"/>
          <w:szCs w:val="28"/>
        </w:rPr>
        <w:t>4.资格审查：调剂考生需按国家规定提供相应证明。</w:t>
      </w:r>
    </w:p>
    <w:p>
      <w:pPr>
        <w:pStyle w:val="3"/>
        <w:keepNext w:val="0"/>
        <w:keepLines w:val="0"/>
        <w:widowControl/>
        <w:suppressLineNumbers w:val="0"/>
        <w:wordWrap w:val="0"/>
        <w:spacing w:before="0" w:beforeAutospacing="0" w:after="210" w:afterAutospacing="0" w:line="360" w:lineRule="atLeast"/>
        <w:ind w:left="0" w:right="0" w:firstLine="555"/>
        <w:rPr>
          <w:color w:val="666666"/>
          <w:sz w:val="24"/>
          <w:szCs w:val="24"/>
        </w:rPr>
      </w:pPr>
      <w:r>
        <w:rPr>
          <w:rFonts w:hint="eastAsia" w:ascii="宋体" w:hAnsi="宋体" w:eastAsia="宋体" w:cs="宋体"/>
          <w:color w:val="666666"/>
          <w:sz w:val="28"/>
          <w:szCs w:val="28"/>
        </w:rPr>
        <w:t>5.调剂专业和调剂计划</w:t>
      </w:r>
    </w:p>
    <w:tbl>
      <w:tblPr>
        <w:tblStyle w:val="4"/>
        <w:tblW w:w="85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0"/>
        <w:gridCol w:w="1425"/>
        <w:gridCol w:w="1725"/>
        <w:gridCol w:w="1185"/>
        <w:gridCol w:w="1425"/>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blCellSpacing w:w="0"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序号</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专业代码</w:t>
            </w:r>
          </w:p>
        </w:tc>
        <w:tc>
          <w:tcPr>
            <w:tcW w:w="17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专业名称</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学习方式</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调剂计划</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复试比例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blCellSpacing w:w="0"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1</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045103</w:t>
            </w:r>
          </w:p>
        </w:tc>
        <w:tc>
          <w:tcPr>
            <w:tcW w:w="17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学科教学（语文）</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全日制</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11</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blCellSpacing w:w="0"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2</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045104</w:t>
            </w:r>
          </w:p>
        </w:tc>
        <w:tc>
          <w:tcPr>
            <w:tcW w:w="17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学科教学（数学）</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全日制</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6</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blCellSpacing w:w="0"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3</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045105</w:t>
            </w:r>
          </w:p>
        </w:tc>
        <w:tc>
          <w:tcPr>
            <w:tcW w:w="17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学科教学（物理）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全日制</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4</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blCellSpacing w:w="0"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4</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045106</w:t>
            </w:r>
          </w:p>
        </w:tc>
        <w:tc>
          <w:tcPr>
            <w:tcW w:w="17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学科教学（化学）</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全日制</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3</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blCellSpacing w:w="0" w:type="dxa"/>
        </w:trPr>
        <w:tc>
          <w:tcPr>
            <w:tcW w:w="105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5</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045110</w:t>
            </w:r>
          </w:p>
        </w:tc>
        <w:tc>
          <w:tcPr>
            <w:tcW w:w="17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学科教学（地理）</w:t>
            </w:r>
          </w:p>
        </w:tc>
        <w:tc>
          <w:tcPr>
            <w:tcW w:w="118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全日制</w:t>
            </w:r>
          </w:p>
        </w:tc>
        <w:tc>
          <w:tcPr>
            <w:tcW w:w="1425"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ind w:left="0" w:firstLine="0"/>
              <w:jc w:val="center"/>
              <w:rPr>
                <w:color w:val="666666"/>
                <w:sz w:val="24"/>
                <w:szCs w:val="24"/>
              </w:rPr>
            </w:pPr>
            <w:r>
              <w:rPr>
                <w:rFonts w:hint="eastAsia" w:ascii="宋体" w:hAnsi="宋体" w:eastAsia="宋体" w:cs="宋体"/>
                <w:color w:val="666666"/>
                <w:sz w:val="21"/>
                <w:szCs w:val="21"/>
              </w:rPr>
              <w:t>3</w:t>
            </w:r>
          </w:p>
        </w:tc>
        <w:tc>
          <w:tcPr>
            <w:tcW w:w="1710" w:type="dxa"/>
            <w:tcBorders>
              <w:top w:val="nil"/>
              <w:left w:val="nil"/>
              <w:bottom w:val="nil"/>
              <w:right w:val="nil"/>
            </w:tcBorders>
            <w:shd w:val="clear" w:color="auto" w:fill="auto"/>
            <w:tcMar>
              <w:top w:w="0" w:type="dxa"/>
              <w:left w:w="105" w:type="dxa"/>
              <w:bottom w:w="0" w:type="dxa"/>
              <w:right w:w="105" w:type="dxa"/>
            </w:tcMar>
            <w:vAlign w:val="center"/>
          </w:tcPr>
          <w:p>
            <w:pPr>
              <w:pStyle w:val="3"/>
              <w:keepNext w:val="0"/>
              <w:keepLines w:val="0"/>
              <w:widowControl/>
              <w:suppressLineNumbers w:val="0"/>
              <w:spacing w:after="210" w:afterAutospacing="0" w:line="360" w:lineRule="atLeast"/>
              <w:jc w:val="center"/>
              <w:rPr>
                <w:color w:val="666666"/>
                <w:sz w:val="24"/>
                <w:szCs w:val="24"/>
              </w:rPr>
            </w:pPr>
            <w:r>
              <w:rPr>
                <w:rFonts w:hint="eastAsia" w:ascii="宋体" w:hAnsi="宋体" w:eastAsia="宋体" w:cs="宋体"/>
                <w:color w:val="666666"/>
                <w:sz w:val="21"/>
                <w:szCs w:val="21"/>
              </w:rPr>
              <w:t>1:2</w:t>
            </w:r>
          </w:p>
        </w:tc>
      </w:tr>
    </w:tbl>
    <w:p>
      <w:pPr>
        <w:pStyle w:val="3"/>
        <w:keepNext w:val="0"/>
        <w:keepLines w:val="0"/>
        <w:widowControl/>
        <w:numPr>
          <w:ilvl w:val="0"/>
          <w:numId w:val="1"/>
        </w:numPr>
        <w:suppressLineNumbers w:val="0"/>
        <w:wordWrap w:val="0"/>
        <w:spacing w:before="0" w:beforeAutospacing="0" w:after="210" w:afterAutospacing="0" w:line="495" w:lineRule="atLeast"/>
        <w:ind w:left="0" w:right="0" w:firstLine="555"/>
        <w:rPr>
          <w:rFonts w:hint="eastAsia" w:ascii="宋体" w:hAnsi="宋体" w:eastAsia="宋体" w:cs="宋体"/>
          <w:color w:val="666666"/>
          <w:sz w:val="28"/>
          <w:szCs w:val="28"/>
        </w:rPr>
      </w:pPr>
      <w:r>
        <w:rPr>
          <w:rFonts w:hint="eastAsia" w:ascii="宋体" w:hAnsi="宋体" w:eastAsia="宋体" w:cs="宋体"/>
          <w:color w:val="666666"/>
          <w:sz w:val="28"/>
          <w:szCs w:val="28"/>
        </w:rPr>
        <w:t>本实施办法最终解释权归教师教育学院。</w:t>
      </w:r>
    </w:p>
    <w:p>
      <w:pPr>
        <w:pStyle w:val="3"/>
        <w:keepNext w:val="0"/>
        <w:keepLines w:val="0"/>
        <w:widowControl/>
        <w:numPr>
          <w:numId w:val="0"/>
        </w:numPr>
        <w:suppressLineNumbers w:val="0"/>
        <w:wordWrap w:val="0"/>
        <w:spacing w:before="0" w:beforeAutospacing="0" w:after="210" w:afterAutospacing="0" w:line="495" w:lineRule="atLeast"/>
        <w:ind w:left="555" w:leftChars="0" w:right="0" w:rightChars="0"/>
        <w:jc w:val="right"/>
        <w:rPr>
          <w:color w:val="666666"/>
          <w:sz w:val="24"/>
          <w:szCs w:val="24"/>
        </w:rPr>
      </w:pPr>
      <w:bookmarkStart w:id="0" w:name="_GoBack"/>
      <w:bookmarkEnd w:id="0"/>
      <w:r>
        <w:rPr>
          <w:rFonts w:hint="eastAsia" w:ascii="宋体" w:hAnsi="宋体" w:eastAsia="宋体" w:cs="宋体"/>
          <w:color w:val="666666"/>
          <w:sz w:val="28"/>
          <w:szCs w:val="28"/>
        </w:rPr>
        <w:t>教师教育学院</w:t>
      </w:r>
    </w:p>
    <w:p>
      <w:pPr>
        <w:pStyle w:val="3"/>
        <w:keepNext w:val="0"/>
        <w:keepLines w:val="0"/>
        <w:widowControl/>
        <w:suppressLineNumbers w:val="0"/>
        <w:wordWrap w:val="0"/>
        <w:spacing w:before="0" w:beforeAutospacing="0" w:after="210" w:afterAutospacing="0" w:line="360" w:lineRule="atLeast"/>
        <w:ind w:left="0" w:right="0" w:firstLine="5595"/>
        <w:rPr>
          <w:color w:val="666666"/>
          <w:sz w:val="24"/>
          <w:szCs w:val="24"/>
        </w:rPr>
      </w:pPr>
      <w:r>
        <w:rPr>
          <w:rFonts w:hint="eastAsia" w:ascii="宋体" w:hAnsi="宋体" w:eastAsia="宋体" w:cs="宋体"/>
          <w:color w:val="666666"/>
          <w:sz w:val="28"/>
          <w:szCs w:val="28"/>
        </w:rPr>
        <w:t>2019年</w:t>
      </w:r>
      <w:r>
        <w:rPr>
          <w:rFonts w:hint="default" w:ascii="Calibri" w:hAnsi="Calibri" w:eastAsia="宋体" w:cs="Calibri"/>
          <w:color w:val="666666"/>
          <w:sz w:val="28"/>
          <w:szCs w:val="28"/>
        </w:rPr>
        <w:t>3</w:t>
      </w:r>
      <w:r>
        <w:rPr>
          <w:rFonts w:hint="eastAsia" w:ascii="宋体" w:hAnsi="宋体" w:eastAsia="宋体" w:cs="宋体"/>
          <w:color w:val="666666"/>
          <w:sz w:val="28"/>
          <w:szCs w:val="28"/>
        </w:rPr>
        <w:t>月</w:t>
      </w:r>
      <w:r>
        <w:rPr>
          <w:rFonts w:hint="default" w:ascii="Calibri" w:hAnsi="Calibri" w:eastAsia="宋体" w:cs="Calibri"/>
          <w:color w:val="666666"/>
          <w:sz w:val="28"/>
          <w:szCs w:val="28"/>
        </w:rPr>
        <w:t>19</w:t>
      </w:r>
      <w:r>
        <w:rPr>
          <w:rFonts w:hint="eastAsia" w:ascii="宋体" w:hAnsi="宋体" w:eastAsia="宋体" w:cs="宋体"/>
          <w:color w:val="666666"/>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CAE2"/>
    <w:multiLevelType w:val="singleLevel"/>
    <w:tmpl w:val="05C8CAE2"/>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CF77B5"/>
    <w:rsid w:val="35E8045B"/>
    <w:rsid w:val="504D4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1787E0"/>
      <w:u w:val="none"/>
    </w:rPr>
  </w:style>
  <w:style w:type="character" w:customStyle="1" w:styleId="8">
    <w:name w:val="first-child"/>
    <w:basedOn w:val="5"/>
    <w:qFormat/>
    <w:uiPriority w:val="0"/>
  </w:style>
  <w:style w:type="character" w:customStyle="1" w:styleId="9">
    <w:name w:val="layui-layer-tabnow"/>
    <w:basedOn w:val="5"/>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2019-03-21T02:17:37Z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