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300" w:beforeAutospacing="0" w:after="300" w:afterAutospacing="0"/>
        <w:ind w:left="0" w:right="0"/>
        <w:jc w:val="center"/>
        <w:rPr>
          <w:b/>
          <w:sz w:val="39"/>
          <w:szCs w:val="39"/>
        </w:rPr>
      </w:pPr>
      <w:bookmarkStart w:id="0" w:name="_GoBack"/>
      <w:r>
        <w:rPr>
          <w:b/>
          <w:sz w:val="39"/>
          <w:szCs w:val="39"/>
        </w:rPr>
        <w:t>太原师范学院数学系2019年硕士研究生招生调剂工作细则</w:t>
      </w:r>
    </w:p>
    <w:bookmarkEnd w:id="0"/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210" w:right="0" w:firstLine="480"/>
        <w:rPr>
          <w:color w:val="666666"/>
          <w:sz w:val="24"/>
          <w:szCs w:val="24"/>
        </w:rPr>
      </w:pPr>
      <w:r>
        <w:rPr>
          <w:rFonts w:ascii="Arial" w:hAnsi="Arial" w:cs="Arial"/>
          <w:color w:val="666666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color w:val="666666"/>
          <w:spacing w:val="0"/>
          <w:sz w:val="24"/>
          <w:szCs w:val="24"/>
          <w:shd w:val="clear" w:fill="FFFFFF"/>
        </w:rPr>
        <w:t>9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年全国硕士研究生统一入学考试考生进入复试的初试成绩已经公布，我系数学学科有调剂指标面向全国考生调剂。调剂专业及具体要求如下：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 w:firstLine="240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一、调剂专业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720" w:right="0" w:firstLine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6363D"/>
          <w:sz w:val="24"/>
          <w:szCs w:val="24"/>
        </w:rPr>
        <w:t>我系接收调剂人数18人，其中计算数学</w:t>
      </w:r>
      <w:r>
        <w:rPr>
          <w:rFonts w:ascii="Calibri" w:hAnsi="Calibri" w:eastAsia="宋体" w:cs="Calibri"/>
          <w:color w:val="36363D"/>
          <w:sz w:val="24"/>
          <w:szCs w:val="24"/>
        </w:rPr>
        <w:t>7</w:t>
      </w:r>
      <w:r>
        <w:rPr>
          <w:rFonts w:hint="eastAsia" w:ascii="宋体" w:hAnsi="宋体" w:eastAsia="宋体" w:cs="宋体"/>
          <w:color w:val="36363D"/>
          <w:sz w:val="24"/>
          <w:szCs w:val="24"/>
        </w:rPr>
        <w:t>人、基础数学</w:t>
      </w:r>
      <w:r>
        <w:rPr>
          <w:rFonts w:hint="default" w:ascii="Calibri" w:hAnsi="Calibri" w:eastAsia="宋体" w:cs="Calibri"/>
          <w:color w:val="36363D"/>
          <w:sz w:val="24"/>
          <w:szCs w:val="24"/>
        </w:rPr>
        <w:t>3</w:t>
      </w:r>
      <w:r>
        <w:rPr>
          <w:rFonts w:hint="eastAsia" w:ascii="宋体" w:hAnsi="宋体" w:eastAsia="宋体" w:cs="宋体"/>
          <w:color w:val="36363D"/>
          <w:sz w:val="24"/>
          <w:szCs w:val="24"/>
        </w:rPr>
        <w:t>人、运筹学与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 w:firstLine="24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6363D"/>
          <w:sz w:val="24"/>
          <w:szCs w:val="24"/>
        </w:rPr>
        <w:t>控制论5人、应用数学3人。复试采取差额复试，各专业复试比例控制在</w:t>
      </w:r>
      <w:r>
        <w:rPr>
          <w:rFonts w:hint="default" w:ascii="Calibri" w:hAnsi="Calibri" w:eastAsia="宋体" w:cs="Calibri"/>
          <w:color w:val="36363D"/>
          <w:sz w:val="24"/>
          <w:szCs w:val="24"/>
        </w:rPr>
        <w:t>1:1.2</w:t>
      </w:r>
      <w:r>
        <w:rPr>
          <w:rFonts w:hint="eastAsia" w:ascii="宋体" w:hAnsi="宋体" w:eastAsia="宋体" w:cs="宋体"/>
          <w:color w:val="36363D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 w:firstLine="720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研究方向：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720" w:right="0" w:firstLine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矩阵数据分析与科学计算（原数值代数与科学计算）、智能计算与数据建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 w:firstLine="24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模、非线性泛函分析、最优化理论与方法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95" w:lineRule="atLeast"/>
        <w:ind w:left="0" w:right="0" w:firstLine="240"/>
        <w:jc w:val="both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二、我系调剂政策与要求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95" w:lineRule="atLeast"/>
        <w:ind w:left="210" w:right="0"/>
        <w:jc w:val="both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1.调剂考生的初试成绩（总分、单科）必须符合其一志愿报考专业在</w:t>
      </w:r>
      <w:r>
        <w:rPr>
          <w:rFonts w:hint="default" w:ascii="Arial" w:hAnsi="Arial" w:cs="Arial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类地区的教育部</w:t>
      </w:r>
      <w:r>
        <w:rPr>
          <w:rFonts w:hint="default" w:ascii="Arial" w:hAnsi="Arial" w:cs="Arial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201</w:t>
      </w:r>
      <w:r>
        <w:rPr>
          <w:rFonts w:hint="eastAsia" w:ascii="宋体" w:hAnsi="宋体" w:eastAsia="宋体" w:cs="宋体"/>
          <w:color w:val="666666"/>
          <w:spacing w:val="0"/>
          <w:sz w:val="24"/>
          <w:szCs w:val="24"/>
          <w:bdr w:val="none" w:color="auto" w:sz="0" w:space="0"/>
          <w:shd w:val="clear" w:fill="FFFFFF"/>
        </w:rPr>
        <w:t>9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年复试分数线。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95" w:lineRule="atLeast"/>
        <w:ind w:left="0" w:right="0" w:firstLine="0"/>
        <w:jc w:val="both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2.调剂考生的外语考试语种仅限英语。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95" w:lineRule="atLeast"/>
        <w:ind w:left="0" w:right="0" w:firstLine="0"/>
        <w:jc w:val="both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3.调剂考生的一志愿报考专业必须与调入专业相同或相近。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95" w:lineRule="atLeast"/>
        <w:ind w:left="0" w:right="0" w:firstLine="0"/>
        <w:jc w:val="both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4.满足学校有关调剂的其它要求。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240" w:right="0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      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5.优先接收第一志愿报考985、</w:t>
      </w:r>
      <w:r>
        <w:rPr>
          <w:rFonts w:hint="default" w:ascii="Arial" w:hAnsi="Arial" w:eastAsia="宋体" w:cs="Arial"/>
          <w:color w:val="333333"/>
          <w:spacing w:val="0"/>
          <w:sz w:val="24"/>
          <w:szCs w:val="24"/>
          <w:shd w:val="clear" w:fill="FFFFFF"/>
        </w:rPr>
        <w:t>211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、双一流建设高校的考生。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240" w:right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      6.调剂复试内容及成绩核算均参照《太原师范学院数学系</w:t>
      </w:r>
      <w:r>
        <w:rPr>
          <w:rFonts w:hint="default" w:ascii="Arial" w:hAnsi="Arial" w:cs="Arial"/>
          <w:color w:val="333333"/>
          <w:spacing w:val="0"/>
          <w:sz w:val="24"/>
          <w:szCs w:val="24"/>
          <w:shd w:val="clear" w:fill="FFFFFF"/>
        </w:rPr>
        <w:t>201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9年硕士研究生复试录取工作实施细则》。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  </w:t>
      </w:r>
      <w:r>
        <w:rPr>
          <w:rStyle w:val="6"/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三. 联系方式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      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联系人：王老师  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 w:firstLine="72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电话：18234070650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 w:firstLine="72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邮箱：1277244167@qq.com         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 w:firstLine="720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              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/>
        <w:jc w:val="right"/>
        <w:rPr>
          <w:color w:val="666666"/>
          <w:sz w:val="24"/>
          <w:szCs w:val="24"/>
        </w:rPr>
      </w:pPr>
      <w:r>
        <w:rPr>
          <w:rStyle w:val="6"/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                                                                            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太原师范学院数学系</w:t>
      </w:r>
    </w:p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210" w:afterAutospacing="0" w:line="495" w:lineRule="atLeast"/>
        <w:ind w:left="0" w:right="0"/>
        <w:jc w:val="right"/>
        <w:rPr>
          <w:color w:val="666666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                            2019年</w:t>
      </w:r>
      <w:r>
        <w:rPr>
          <w:rFonts w:hint="default" w:ascii="Arial" w:hAnsi="Arial" w:eastAsia="宋体" w:cs="Arial"/>
          <w:color w:val="333333"/>
          <w:spacing w:val="0"/>
          <w:sz w:val="24"/>
          <w:szCs w:val="24"/>
          <w:shd w:val="clear" w:fill="FFFFFF"/>
        </w:rPr>
        <w:t>3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default" w:ascii="Arial" w:hAnsi="Arial" w:eastAsia="宋体" w:cs="Arial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color w:val="333333"/>
          <w:spacing w:val="0"/>
          <w:sz w:val="24"/>
          <w:szCs w:val="24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E71DC"/>
    <w:rsid w:val="0CBF49BF"/>
    <w:rsid w:val="1EE25614"/>
    <w:rsid w:val="21CF77B5"/>
    <w:rsid w:val="22FB184C"/>
    <w:rsid w:val="25F0179D"/>
    <w:rsid w:val="2F3C1C2A"/>
    <w:rsid w:val="312C6E1D"/>
    <w:rsid w:val="32BE05D4"/>
    <w:rsid w:val="35E8045B"/>
    <w:rsid w:val="4A5C4992"/>
    <w:rsid w:val="5F545EC1"/>
    <w:rsid w:val="71A40A45"/>
    <w:rsid w:val="72651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1787E0"/>
      <w:u w:val="none"/>
    </w:rPr>
  </w:style>
  <w:style w:type="character" w:styleId="8">
    <w:name w:val="Hyperlink"/>
    <w:basedOn w:val="5"/>
    <w:qFormat/>
    <w:uiPriority w:val="0"/>
    <w:rPr>
      <w:color w:val="1787E0"/>
      <w:u w:val="none"/>
    </w:rPr>
  </w:style>
  <w:style w:type="character" w:customStyle="1" w:styleId="9">
    <w:name w:val="first-child"/>
    <w:basedOn w:val="5"/>
    <w:qFormat/>
    <w:uiPriority w:val="0"/>
  </w:style>
  <w:style w:type="character" w:customStyle="1" w:styleId="10">
    <w:name w:val="layui-layer-tabnow"/>
    <w:basedOn w:val="5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2019-03-21T03:04:15Z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