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300" w:beforeAutospacing="0" w:after="300" w:afterAutospacing="0"/>
        <w:ind w:left="0" w:right="0"/>
        <w:jc w:val="center"/>
        <w:rPr>
          <w:color w:val="666666"/>
          <w:sz w:val="24"/>
          <w:szCs w:val="24"/>
        </w:rPr>
      </w:pPr>
      <w:r>
        <w:rPr>
          <w:b/>
          <w:sz w:val="39"/>
          <w:szCs w:val="39"/>
        </w:rPr>
        <w:t>太原师范学院设计系2019年硕士研究生接收调剂细则</w:t>
      </w:r>
    </w:p>
    <w:p>
      <w:pPr>
        <w:pStyle w:val="3"/>
        <w:keepNext w:val="0"/>
        <w:keepLines w:val="0"/>
        <w:widowControl/>
        <w:suppressLineNumbers w:val="0"/>
        <w:wordWrap w:val="0"/>
        <w:spacing w:before="0" w:beforeAutospacing="0" w:after="210" w:afterAutospacing="0" w:line="450" w:lineRule="atLeast"/>
        <w:ind w:left="0" w:right="0"/>
        <w:rPr>
          <w:color w:val="666666"/>
          <w:sz w:val="24"/>
          <w:szCs w:val="24"/>
        </w:rPr>
      </w:pPr>
      <w:r>
        <w:rPr>
          <w:rStyle w:val="6"/>
          <w:rFonts w:hint="eastAsia" w:ascii="宋体" w:hAnsi="宋体" w:eastAsia="宋体" w:cs="宋体"/>
          <w:color w:val="333333"/>
          <w:sz w:val="28"/>
          <w:szCs w:val="28"/>
        </w:rPr>
        <w:t>一、调剂要求 </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1.调剂考生须符合教育部及我校招生简章中规定的调入专业的报考条件。</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2.初试成绩(单科与总成绩)必须达到教育部公布的2019年复试（A区考生）艺术硕士专业最低分数线基本要求。</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3.考生第一志愿报考专业须与拟调入我系专业相同或相近（不得跨学科调剂，且只接受专硕）。</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4.只限第一志愿报考教育部批准的独立设置本科艺术院校（30所）以及参照独立设置本科艺术院校招生的院校（15所）的考生。（院校名单见附表）</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5.所有拟调剂到我校的考生必须保证学籍、学历的真实准确，若出现学籍学历问题导致不能录取将由考生本人承担全部责任。</w:t>
      </w:r>
    </w:p>
    <w:p>
      <w:pPr>
        <w:pStyle w:val="3"/>
        <w:keepNext w:val="0"/>
        <w:keepLines w:val="0"/>
        <w:widowControl/>
        <w:suppressLineNumbers w:val="0"/>
        <w:wordWrap w:val="0"/>
        <w:spacing w:before="0" w:beforeAutospacing="0" w:after="210" w:afterAutospacing="0" w:line="450" w:lineRule="atLeast"/>
        <w:ind w:left="0" w:right="0" w:firstLine="555"/>
        <w:rPr>
          <w:color w:val="666666"/>
          <w:sz w:val="24"/>
          <w:szCs w:val="24"/>
        </w:rPr>
      </w:pPr>
      <w:r>
        <w:rPr>
          <w:rFonts w:hint="eastAsia" w:ascii="宋体" w:hAnsi="宋体" w:eastAsia="宋体" w:cs="宋体"/>
          <w:color w:val="333333"/>
          <w:sz w:val="28"/>
          <w:szCs w:val="28"/>
        </w:rPr>
        <w:t>6.接收调剂按专业和方向划分,总分由高到低排列，调剂比例为1：1.5。</w:t>
      </w:r>
    </w:p>
    <w:p>
      <w:pPr>
        <w:pStyle w:val="3"/>
        <w:keepNext w:val="0"/>
        <w:keepLines w:val="0"/>
        <w:widowControl/>
        <w:suppressLineNumbers w:val="0"/>
        <w:wordWrap w:val="0"/>
        <w:spacing w:before="0" w:beforeAutospacing="0" w:after="210" w:afterAutospacing="0" w:line="450" w:lineRule="atLeast"/>
        <w:ind w:left="0" w:right="0"/>
        <w:rPr>
          <w:color w:val="666666"/>
          <w:sz w:val="24"/>
          <w:szCs w:val="24"/>
        </w:rPr>
      </w:pPr>
      <w:r>
        <w:rPr>
          <w:rStyle w:val="6"/>
          <w:rFonts w:hint="eastAsia" w:ascii="宋体" w:hAnsi="宋体" w:eastAsia="宋体" w:cs="宋体"/>
          <w:color w:val="333333"/>
          <w:sz w:val="28"/>
          <w:szCs w:val="28"/>
        </w:rPr>
        <w:t>二、可接收调剂专业</w:t>
      </w:r>
    </w:p>
    <w:tbl>
      <w:tblPr>
        <w:tblStyle w:val="4"/>
        <w:tblW w:w="759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40"/>
        <w:gridCol w:w="3300"/>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blCellSpacing w:w="0" w:type="dxa"/>
        </w:trPr>
        <w:tc>
          <w:tcPr>
            <w:tcW w:w="2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uto"/>
              <w:jc w:val="center"/>
              <w:rPr>
                <w:color w:val="666666"/>
                <w:sz w:val="24"/>
                <w:szCs w:val="24"/>
              </w:rPr>
            </w:pPr>
            <w:r>
              <w:rPr>
                <w:rStyle w:val="6"/>
                <w:rFonts w:hint="eastAsia" w:ascii="宋体" w:hAnsi="宋体" w:eastAsia="宋体" w:cs="宋体"/>
                <w:color w:val="666666"/>
                <w:sz w:val="24"/>
                <w:szCs w:val="24"/>
              </w:rPr>
              <w:t>专业代码与专业名称</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uto"/>
              <w:jc w:val="center"/>
              <w:rPr>
                <w:color w:val="666666"/>
                <w:sz w:val="24"/>
                <w:szCs w:val="24"/>
              </w:rPr>
            </w:pPr>
            <w:r>
              <w:rPr>
                <w:rStyle w:val="6"/>
                <w:rFonts w:hint="eastAsia" w:ascii="宋体" w:hAnsi="宋体" w:eastAsia="宋体" w:cs="宋体"/>
                <w:color w:val="666666"/>
                <w:sz w:val="24"/>
                <w:szCs w:val="24"/>
              </w:rPr>
              <w:t>研究方向名称</w:t>
            </w:r>
          </w:p>
        </w:tc>
        <w:tc>
          <w:tcPr>
            <w:tcW w:w="165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uto"/>
              <w:jc w:val="center"/>
              <w:rPr>
                <w:color w:val="666666"/>
                <w:sz w:val="24"/>
                <w:szCs w:val="24"/>
              </w:rPr>
            </w:pPr>
            <w:r>
              <w:rPr>
                <w:rStyle w:val="6"/>
                <w:rFonts w:hint="eastAsia" w:ascii="宋体" w:hAnsi="宋体" w:eastAsia="宋体" w:cs="宋体"/>
                <w:color w:val="666666"/>
                <w:sz w:val="24"/>
                <w:szCs w:val="24"/>
              </w:rPr>
              <w:t>学习形式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blCellSpacing w:w="0" w:type="dxa"/>
        </w:trPr>
        <w:tc>
          <w:tcPr>
            <w:tcW w:w="2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uto"/>
              <w:jc w:val="center"/>
              <w:rPr>
                <w:color w:val="666666"/>
                <w:sz w:val="24"/>
                <w:szCs w:val="24"/>
              </w:rPr>
            </w:pPr>
            <w:r>
              <w:rPr>
                <w:rFonts w:ascii="楷体" w:hAnsi="楷体" w:eastAsia="楷体" w:cs="楷体"/>
                <w:color w:val="666666"/>
                <w:sz w:val="24"/>
                <w:szCs w:val="24"/>
              </w:rPr>
              <w:t>135108</w:t>
            </w:r>
            <w:r>
              <w:rPr>
                <w:rFonts w:hint="eastAsia" w:ascii="宋体" w:hAnsi="宋体" w:eastAsia="宋体" w:cs="宋体"/>
                <w:color w:val="666666"/>
                <w:sz w:val="24"/>
                <w:szCs w:val="24"/>
              </w:rPr>
              <w:t>  艺术设计</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uto"/>
              <w:jc w:val="center"/>
              <w:rPr>
                <w:color w:val="666666"/>
                <w:sz w:val="24"/>
                <w:szCs w:val="24"/>
              </w:rPr>
            </w:pPr>
            <w:r>
              <w:rPr>
                <w:rFonts w:hint="eastAsia" w:ascii="宋体" w:hAnsi="宋体" w:eastAsia="宋体" w:cs="宋体"/>
                <w:color w:val="666666"/>
                <w:sz w:val="24"/>
                <w:szCs w:val="24"/>
              </w:rPr>
              <w:t>视觉传达设计（4人）</w:t>
            </w:r>
          </w:p>
        </w:tc>
        <w:tc>
          <w:tcPr>
            <w:tcW w:w="165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uto"/>
              <w:jc w:val="center"/>
              <w:rPr>
                <w:color w:val="666666"/>
                <w:sz w:val="24"/>
                <w:szCs w:val="24"/>
              </w:rPr>
            </w:pPr>
            <w:r>
              <w:rPr>
                <w:rFonts w:hint="eastAsia" w:ascii="宋体" w:hAnsi="宋体" w:eastAsia="宋体" w:cs="宋体"/>
                <w:color w:val="666666"/>
                <w:sz w:val="24"/>
                <w:szCs w:val="24"/>
              </w:rPr>
              <w:t>全日制</w:t>
            </w:r>
          </w:p>
        </w:tc>
      </w:tr>
    </w:tbl>
    <w:p>
      <w:pPr>
        <w:pStyle w:val="3"/>
        <w:keepNext w:val="0"/>
        <w:keepLines w:val="0"/>
        <w:widowControl/>
        <w:suppressLineNumbers w:val="0"/>
        <w:wordWrap w:val="0"/>
        <w:spacing w:before="0" w:beforeAutospacing="0" w:after="210" w:afterAutospacing="0" w:line="450" w:lineRule="atLeast"/>
        <w:ind w:left="0" w:right="0"/>
        <w:rPr>
          <w:color w:val="666666"/>
          <w:sz w:val="24"/>
          <w:szCs w:val="24"/>
        </w:rPr>
      </w:pPr>
      <w:r>
        <w:rPr>
          <w:rStyle w:val="6"/>
          <w:rFonts w:hint="eastAsia" w:ascii="宋体" w:hAnsi="宋体" w:eastAsia="宋体" w:cs="宋体"/>
          <w:color w:val="333333"/>
          <w:sz w:val="28"/>
          <w:szCs w:val="28"/>
        </w:rPr>
        <w:t> </w:t>
      </w:r>
    </w:p>
    <w:p>
      <w:pPr>
        <w:pStyle w:val="3"/>
        <w:keepNext w:val="0"/>
        <w:keepLines w:val="0"/>
        <w:widowControl/>
        <w:suppressLineNumbers w:val="0"/>
        <w:wordWrap w:val="0"/>
        <w:spacing w:before="0" w:beforeAutospacing="0" w:after="210" w:afterAutospacing="0" w:line="450" w:lineRule="atLeast"/>
        <w:ind w:left="0" w:right="0"/>
        <w:rPr>
          <w:color w:val="666666"/>
          <w:sz w:val="24"/>
          <w:szCs w:val="24"/>
        </w:rPr>
      </w:pPr>
      <w:r>
        <w:rPr>
          <w:rStyle w:val="6"/>
          <w:rFonts w:hint="eastAsia" w:ascii="宋体" w:hAnsi="宋体" w:eastAsia="宋体" w:cs="宋体"/>
          <w:color w:val="333333"/>
          <w:sz w:val="28"/>
          <w:szCs w:val="28"/>
        </w:rPr>
        <w:t>三、申请程序</w:t>
      </w:r>
    </w:p>
    <w:p>
      <w:pPr>
        <w:pStyle w:val="3"/>
        <w:keepNext w:val="0"/>
        <w:keepLines w:val="0"/>
        <w:widowControl/>
        <w:suppressLineNumbers w:val="0"/>
        <w:wordWrap w:val="0"/>
        <w:spacing w:before="0" w:beforeAutospacing="0" w:after="210" w:afterAutospacing="0" w:line="360" w:lineRule="auto"/>
        <w:ind w:left="0" w:right="0"/>
        <w:rPr>
          <w:color w:val="666666"/>
          <w:sz w:val="24"/>
          <w:szCs w:val="24"/>
        </w:rPr>
      </w:pPr>
      <w:r>
        <w:rPr>
          <w:rFonts w:hint="eastAsia" w:ascii="宋体" w:hAnsi="宋体" w:eastAsia="宋体" w:cs="宋体"/>
          <w:color w:val="333333"/>
          <w:sz w:val="28"/>
          <w:szCs w:val="28"/>
        </w:rPr>
        <w:t>1.考生须通过我校《太原师范学院硕士研究生招生调剂系统》和 “中囯研究生招生信息网”的《</w:t>
      </w:r>
      <w:r>
        <w:rPr>
          <w:rFonts w:hint="eastAsia" w:ascii="宋体" w:hAnsi="宋体" w:eastAsia="宋体" w:cs="宋体"/>
          <w:color w:val="333333"/>
          <w:sz w:val="28"/>
          <w:szCs w:val="28"/>
          <w:u w:val="none"/>
        </w:rPr>
        <w:t>2019</w:t>
      </w:r>
      <w:r>
        <w:rPr>
          <w:rFonts w:hint="eastAsia" w:ascii="宋体" w:hAnsi="宋体" w:eastAsia="宋体" w:cs="宋体"/>
          <w:color w:val="333333"/>
          <w:sz w:val="28"/>
          <w:szCs w:val="28"/>
        </w:rPr>
        <w:t xml:space="preserve">年全国硕士研究生招生调剂服务系统》进行网上填报申请与调剂手续,否则调剂无效。 </w:t>
      </w:r>
    </w:p>
    <w:p>
      <w:pPr>
        <w:pStyle w:val="3"/>
        <w:keepNext w:val="0"/>
        <w:keepLines w:val="0"/>
        <w:widowControl/>
        <w:suppressLineNumbers w:val="0"/>
        <w:wordWrap w:val="0"/>
        <w:spacing w:before="0" w:beforeAutospacing="0" w:after="210" w:afterAutospacing="0" w:line="360" w:lineRule="auto"/>
        <w:ind w:left="0" w:right="0"/>
        <w:rPr>
          <w:color w:val="666666"/>
          <w:sz w:val="24"/>
          <w:szCs w:val="24"/>
        </w:rPr>
      </w:pPr>
      <w:r>
        <w:rPr>
          <w:rFonts w:hint="eastAsia" w:ascii="宋体" w:hAnsi="宋体" w:eastAsia="宋体" w:cs="宋体"/>
          <w:color w:val="333333"/>
          <w:sz w:val="28"/>
          <w:szCs w:val="28"/>
        </w:rPr>
        <w:t>2.根据调剂要求及考生的专业和分数情况进行资格审查、复核。</w:t>
      </w:r>
    </w:p>
    <w:p>
      <w:pPr>
        <w:pStyle w:val="3"/>
        <w:keepNext w:val="0"/>
        <w:keepLines w:val="0"/>
        <w:widowControl/>
        <w:suppressLineNumbers w:val="0"/>
        <w:wordWrap w:val="0"/>
        <w:spacing w:before="0" w:beforeAutospacing="0" w:after="210" w:afterAutospacing="0" w:line="360" w:lineRule="auto"/>
        <w:ind w:left="0" w:right="0"/>
        <w:rPr>
          <w:color w:val="666666"/>
          <w:sz w:val="24"/>
          <w:szCs w:val="24"/>
        </w:rPr>
      </w:pPr>
      <w:r>
        <w:rPr>
          <w:rFonts w:hint="eastAsia" w:ascii="宋体" w:hAnsi="宋体" w:eastAsia="宋体" w:cs="宋体"/>
          <w:color w:val="333333"/>
          <w:sz w:val="28"/>
          <w:szCs w:val="28"/>
        </w:rPr>
        <w:t>3.资格审查合格考生均可获得同等面试资格。按照2019年太原师范学院艺术硕士研究生复试安排要求进行专业考试、面试等环节。</w:t>
      </w:r>
    </w:p>
    <w:p>
      <w:pPr>
        <w:pStyle w:val="3"/>
        <w:keepNext w:val="0"/>
        <w:keepLines w:val="0"/>
        <w:widowControl/>
        <w:suppressLineNumbers w:val="0"/>
        <w:wordWrap w:val="0"/>
        <w:spacing w:before="0" w:beforeAutospacing="0" w:after="210" w:afterAutospacing="0" w:line="360" w:lineRule="auto"/>
        <w:ind w:left="0" w:right="0"/>
        <w:rPr>
          <w:color w:val="666666"/>
          <w:sz w:val="24"/>
          <w:szCs w:val="24"/>
        </w:rPr>
      </w:pPr>
      <w:r>
        <w:rPr>
          <w:rFonts w:hint="eastAsia" w:ascii="宋体" w:hAnsi="宋体" w:eastAsia="宋体" w:cs="宋体"/>
          <w:color w:val="333333"/>
          <w:sz w:val="28"/>
          <w:szCs w:val="28"/>
        </w:rPr>
        <w:t>4.考生应在我校发出复试通知后24小时内，回复邮件进行确认，否则视为放弃复试。</w:t>
      </w:r>
    </w:p>
    <w:p>
      <w:pPr>
        <w:pStyle w:val="3"/>
        <w:keepNext w:val="0"/>
        <w:keepLines w:val="0"/>
        <w:widowControl/>
        <w:suppressLineNumbers w:val="0"/>
        <w:wordWrap w:val="0"/>
        <w:spacing w:before="0" w:beforeAutospacing="0" w:after="210" w:afterAutospacing="0" w:line="360" w:lineRule="auto"/>
        <w:ind w:left="0" w:right="0"/>
        <w:rPr>
          <w:color w:val="666666"/>
          <w:sz w:val="24"/>
          <w:szCs w:val="24"/>
        </w:rPr>
      </w:pPr>
      <w:r>
        <w:rPr>
          <w:rFonts w:hint="eastAsia" w:ascii="宋体" w:hAnsi="宋体" w:eastAsia="宋体" w:cs="宋体"/>
          <w:color w:val="333333"/>
          <w:sz w:val="28"/>
          <w:szCs w:val="28"/>
        </w:rPr>
        <w:t> </w:t>
      </w:r>
    </w:p>
    <w:p>
      <w:pPr>
        <w:pStyle w:val="3"/>
        <w:keepNext w:val="0"/>
        <w:keepLines w:val="0"/>
        <w:widowControl/>
        <w:suppressLineNumbers w:val="0"/>
        <w:wordWrap w:val="0"/>
        <w:spacing w:before="0" w:beforeAutospacing="0" w:after="210" w:afterAutospacing="0" w:line="450" w:lineRule="atLeast"/>
        <w:ind w:left="0" w:right="0"/>
        <w:rPr>
          <w:color w:val="666666"/>
          <w:sz w:val="24"/>
          <w:szCs w:val="24"/>
        </w:rPr>
      </w:pPr>
      <w:r>
        <w:rPr>
          <w:rStyle w:val="6"/>
          <w:rFonts w:hint="eastAsia" w:ascii="宋体" w:hAnsi="宋体" w:eastAsia="宋体" w:cs="宋体"/>
          <w:color w:val="333333"/>
          <w:sz w:val="28"/>
          <w:szCs w:val="28"/>
        </w:rPr>
        <w:t>四、复试办法</w:t>
      </w:r>
    </w:p>
    <w:p>
      <w:pPr>
        <w:pStyle w:val="3"/>
        <w:keepNext w:val="0"/>
        <w:keepLines w:val="0"/>
        <w:widowControl/>
        <w:suppressLineNumbers w:val="0"/>
        <w:wordWrap w:val="0"/>
        <w:spacing w:before="0" w:beforeAutospacing="0" w:after="210" w:afterAutospacing="0" w:line="360" w:lineRule="auto"/>
        <w:ind w:left="0" w:right="0"/>
        <w:rPr>
          <w:color w:val="666666"/>
          <w:sz w:val="24"/>
          <w:szCs w:val="24"/>
        </w:rPr>
      </w:pPr>
      <w:r>
        <w:rPr>
          <w:rFonts w:hint="eastAsia" w:ascii="宋体" w:hAnsi="宋体" w:eastAsia="宋体" w:cs="宋体"/>
          <w:color w:val="333333"/>
          <w:sz w:val="28"/>
          <w:szCs w:val="28"/>
        </w:rPr>
        <w:t>详见2019年太原师范学院艺术硕士复试办法。</w:t>
      </w:r>
    </w:p>
    <w:p>
      <w:pPr>
        <w:pStyle w:val="3"/>
        <w:keepNext w:val="0"/>
        <w:keepLines w:val="0"/>
        <w:widowControl/>
        <w:suppressLineNumbers w:val="0"/>
        <w:wordWrap w:val="0"/>
        <w:spacing w:before="0" w:beforeAutospacing="0" w:after="210" w:afterAutospacing="0" w:line="450" w:lineRule="atLeast"/>
        <w:ind w:left="0" w:right="0"/>
        <w:rPr>
          <w:color w:val="666666"/>
          <w:sz w:val="24"/>
          <w:szCs w:val="24"/>
        </w:rPr>
      </w:pPr>
      <w:r>
        <w:rPr>
          <w:rFonts w:hint="eastAsia" w:ascii="宋体" w:hAnsi="宋体" w:eastAsia="宋体" w:cs="宋体"/>
          <w:color w:val="666666"/>
          <w:sz w:val="28"/>
          <w:szCs w:val="28"/>
        </w:rPr>
        <w:t>联系方式：常朦朦：13551219681     </w:t>
      </w:r>
    </w:p>
    <w:p>
      <w:pPr>
        <w:pStyle w:val="3"/>
        <w:keepNext w:val="0"/>
        <w:keepLines w:val="0"/>
        <w:widowControl/>
        <w:suppressLineNumbers w:val="0"/>
        <w:wordWrap w:val="0"/>
        <w:spacing w:before="0" w:beforeAutospacing="0" w:after="210" w:afterAutospacing="0" w:line="450" w:lineRule="atLeast"/>
        <w:ind w:right="0" w:firstLine="6160" w:firstLineChars="2200"/>
        <w:rPr>
          <w:color w:val="666666"/>
          <w:sz w:val="24"/>
          <w:szCs w:val="24"/>
        </w:rPr>
      </w:pPr>
      <w:r>
        <w:rPr>
          <w:rFonts w:hint="eastAsia" w:ascii="宋体" w:hAnsi="宋体" w:eastAsia="宋体" w:cs="宋体"/>
          <w:color w:val="666666"/>
          <w:sz w:val="28"/>
          <w:szCs w:val="28"/>
        </w:rPr>
        <w:t>设计系</w:t>
      </w:r>
    </w:p>
    <w:p>
      <w:pPr>
        <w:pStyle w:val="3"/>
        <w:keepNext w:val="0"/>
        <w:keepLines w:val="0"/>
        <w:widowControl/>
        <w:suppressLineNumbers w:val="0"/>
        <w:wordWrap w:val="0"/>
        <w:spacing w:before="0" w:beforeAutospacing="0" w:after="210" w:afterAutospacing="0" w:line="450" w:lineRule="atLeast"/>
        <w:ind w:left="0" w:right="0"/>
        <w:jc w:val="right"/>
        <w:rPr>
          <w:color w:val="666666"/>
          <w:sz w:val="24"/>
          <w:szCs w:val="24"/>
        </w:rPr>
      </w:pPr>
      <w:r>
        <w:rPr>
          <w:rFonts w:hint="eastAsia" w:ascii="宋体" w:hAnsi="宋体" w:eastAsia="宋体" w:cs="宋体"/>
          <w:color w:val="666666"/>
          <w:sz w:val="28"/>
          <w:szCs w:val="28"/>
        </w:rPr>
        <w:t>2019年</w:t>
      </w:r>
      <w:r>
        <w:rPr>
          <w:rFonts w:ascii="Calibri" w:hAnsi="Calibri" w:eastAsia="宋体" w:cs="Calibri"/>
          <w:color w:val="666666"/>
          <w:sz w:val="28"/>
          <w:szCs w:val="28"/>
        </w:rPr>
        <w:t>3</w:t>
      </w:r>
      <w:r>
        <w:rPr>
          <w:rFonts w:hint="eastAsia" w:ascii="宋体" w:hAnsi="宋体" w:eastAsia="宋体" w:cs="宋体"/>
          <w:color w:val="666666"/>
          <w:sz w:val="28"/>
          <w:szCs w:val="28"/>
        </w:rPr>
        <w:t>月</w:t>
      </w:r>
      <w:r>
        <w:rPr>
          <w:rFonts w:hint="default" w:ascii="Calibri" w:hAnsi="Calibri" w:eastAsia="宋体" w:cs="Calibri"/>
          <w:color w:val="666666"/>
          <w:sz w:val="28"/>
          <w:szCs w:val="28"/>
        </w:rPr>
        <w:t>20</w:t>
      </w:r>
      <w:r>
        <w:rPr>
          <w:rFonts w:hint="eastAsia" w:ascii="宋体" w:hAnsi="宋体" w:eastAsia="宋体" w:cs="宋体"/>
          <w:color w:val="666666"/>
          <w:sz w:val="28"/>
          <w:szCs w:val="28"/>
        </w:rPr>
        <w:t>日</w:t>
      </w:r>
    </w:p>
    <w:p>
      <w:pPr>
        <w:pStyle w:val="3"/>
        <w:keepNext w:val="0"/>
        <w:keepLines w:val="0"/>
        <w:widowControl/>
        <w:suppressLineNumbers w:val="0"/>
        <w:shd w:val="clear" w:fill="FFFFFF"/>
        <w:wordWrap w:val="0"/>
        <w:spacing w:before="0" w:beforeAutospacing="0" w:after="210" w:afterAutospacing="0" w:line="450" w:lineRule="atLeast"/>
        <w:ind w:left="0" w:right="0"/>
        <w:rPr>
          <w:color w:val="666666"/>
          <w:sz w:val="24"/>
          <w:szCs w:val="24"/>
        </w:rPr>
      </w:pPr>
      <w:r>
        <w:rPr>
          <w:rFonts w:ascii="微软雅黑" w:hAnsi="微软雅黑" w:eastAsia="微软雅黑" w:cs="微软雅黑"/>
          <w:color w:val="333333"/>
          <w:spacing w:val="15"/>
          <w:sz w:val="21"/>
          <w:szCs w:val="21"/>
          <w:shd w:val="clear" w:fill="FFFFFF"/>
        </w:rPr>
        <w:t>附表</w:t>
      </w:r>
    </w:p>
    <w:p>
      <w:pPr>
        <w:pStyle w:val="3"/>
        <w:keepNext w:val="0"/>
        <w:keepLines w:val="0"/>
        <w:widowControl/>
        <w:suppressLineNumbers w:val="0"/>
        <w:shd w:val="clear" w:fill="FFFFFF"/>
        <w:wordWrap w:val="0"/>
        <w:spacing w:before="0" w:beforeAutospacing="0" w:after="210" w:afterAutospacing="0" w:line="450" w:lineRule="atLeast"/>
        <w:ind w:left="0" w:right="0"/>
        <w:rPr>
          <w:color w:val="666666"/>
          <w:sz w:val="24"/>
          <w:szCs w:val="24"/>
        </w:rPr>
      </w:pPr>
      <w:r>
        <w:rPr>
          <w:rFonts w:hint="eastAsia" w:ascii="微软雅黑" w:hAnsi="微软雅黑" w:eastAsia="微软雅黑" w:cs="微软雅黑"/>
          <w:color w:val="333333"/>
          <w:spacing w:val="15"/>
          <w:sz w:val="33"/>
          <w:szCs w:val="33"/>
          <w:shd w:val="clear" w:fill="FFFFFF"/>
        </w:rPr>
        <w:t>教育部批准的独立设置本科艺术院校名单</w:t>
      </w:r>
    </w:p>
    <w:p>
      <w:pPr>
        <w:pStyle w:val="3"/>
        <w:keepNext w:val="0"/>
        <w:keepLines w:val="0"/>
        <w:widowControl/>
        <w:suppressLineNumbers w:val="0"/>
        <w:shd w:val="clear" w:fill="FFFFFF"/>
        <w:wordWrap w:val="0"/>
        <w:spacing w:before="0" w:beforeAutospacing="0" w:after="0" w:afterAutospacing="0" w:line="360" w:lineRule="atLeast"/>
        <w:ind w:left="0" w:right="0"/>
        <w:jc w:val="both"/>
        <w:rPr>
          <w:color w:val="666666"/>
          <w:sz w:val="24"/>
          <w:szCs w:val="24"/>
        </w:rPr>
      </w:pPr>
      <w:r>
        <w:rPr>
          <w:rStyle w:val="6"/>
          <w:rFonts w:hint="eastAsia" w:ascii="微软雅黑" w:hAnsi="微软雅黑" w:eastAsia="微软雅黑" w:cs="微软雅黑"/>
          <w:color w:val="191919"/>
          <w:spacing w:val="15"/>
          <w:sz w:val="27"/>
          <w:szCs w:val="27"/>
          <w:shd w:val="clear" w:fill="FFFFFF"/>
        </w:rPr>
        <w:t>独立设置本科艺术院校名单</w:t>
      </w:r>
      <w:r>
        <w:rPr>
          <w:rStyle w:val="6"/>
          <w:rFonts w:ascii="Arial" w:hAnsi="Arial" w:cs="Arial"/>
          <w:color w:val="191919"/>
          <w:spacing w:val="15"/>
          <w:sz w:val="27"/>
          <w:szCs w:val="27"/>
          <w:shd w:val="clear" w:fill="FFFFFF"/>
        </w:rPr>
        <w:t>(30</w:t>
      </w:r>
      <w:r>
        <w:rPr>
          <w:rStyle w:val="6"/>
          <w:rFonts w:hint="eastAsia" w:ascii="微软雅黑" w:hAnsi="微软雅黑" w:eastAsia="微软雅黑" w:cs="微软雅黑"/>
          <w:color w:val="191919"/>
          <w:spacing w:val="15"/>
          <w:sz w:val="27"/>
          <w:szCs w:val="27"/>
          <w:shd w:val="clear" w:fill="FFFFFF"/>
        </w:rPr>
        <w:t>所</w:t>
      </w:r>
      <w:r>
        <w:rPr>
          <w:rStyle w:val="6"/>
          <w:rFonts w:hint="default" w:ascii="Arial" w:hAnsi="Arial" w:cs="Arial"/>
          <w:color w:val="191919"/>
          <w:spacing w:val="15"/>
          <w:sz w:val="27"/>
          <w:szCs w:val="27"/>
          <w:shd w:val="clear" w:fill="FFFFFF"/>
        </w:rPr>
        <w:t>)</w:t>
      </w:r>
    </w:p>
    <w:p>
      <w:pPr>
        <w:pStyle w:val="3"/>
        <w:keepNext w:val="0"/>
        <w:keepLines w:val="0"/>
        <w:widowControl/>
        <w:suppressLineNumbers w:val="0"/>
        <w:shd w:val="clear" w:fill="FFFFFF"/>
        <w:wordWrap w:val="0"/>
        <w:spacing w:before="0" w:beforeAutospacing="0" w:after="0" w:afterAutospacing="0" w:line="510" w:lineRule="atLeast"/>
        <w:ind w:left="0" w:right="0"/>
        <w:jc w:val="both"/>
        <w:rPr>
          <w:color w:val="666666"/>
          <w:sz w:val="24"/>
          <w:szCs w:val="24"/>
        </w:rPr>
      </w:pPr>
      <w:r>
        <w:rPr>
          <w:rFonts w:hint="eastAsia" w:ascii="微软雅黑" w:hAnsi="微软雅黑" w:eastAsia="微软雅黑" w:cs="微软雅黑"/>
          <w:color w:val="191919"/>
          <w:spacing w:val="15"/>
          <w:sz w:val="24"/>
          <w:szCs w:val="24"/>
          <w:shd w:val="clear" w:fill="FFFFFF"/>
        </w:rPr>
        <w:t>中央戏剧学院、中央美术学院、中央音乐学院、中国音乐学院、北京电影学院</w:t>
      </w:r>
      <w:r>
        <w:rPr>
          <w:rFonts w:hint="eastAsia" w:ascii="微软雅黑" w:hAnsi="微软雅黑" w:eastAsia="微软雅黑" w:cs="微软雅黑"/>
          <w:color w:val="333333"/>
          <w:spacing w:val="15"/>
          <w:sz w:val="25"/>
          <w:szCs w:val="25"/>
          <w:shd w:val="clear" w:fill="FFFFFF"/>
        </w:rPr>
        <w:t>、</w:t>
      </w:r>
      <w:r>
        <w:rPr>
          <w:rFonts w:hint="eastAsia" w:ascii="微软雅黑" w:hAnsi="微软雅黑" w:eastAsia="微软雅黑" w:cs="微软雅黑"/>
          <w:color w:val="191919"/>
          <w:spacing w:val="15"/>
          <w:sz w:val="24"/>
          <w:szCs w:val="24"/>
          <w:shd w:val="clear" w:fill="FFFFFF"/>
        </w:rPr>
        <w:t>北京舞蹈学院、中国戏曲学院、天津音乐学院、天津美术学院、鲁迅美术学院</w:t>
      </w:r>
      <w:r>
        <w:rPr>
          <w:rFonts w:hint="eastAsia" w:ascii="微软雅黑" w:hAnsi="微软雅黑" w:eastAsia="微软雅黑" w:cs="微软雅黑"/>
          <w:color w:val="333333"/>
          <w:spacing w:val="15"/>
          <w:sz w:val="25"/>
          <w:szCs w:val="25"/>
          <w:shd w:val="clear" w:fill="FFFFFF"/>
        </w:rPr>
        <w:t>、</w:t>
      </w:r>
      <w:r>
        <w:rPr>
          <w:rFonts w:hint="eastAsia" w:ascii="微软雅黑" w:hAnsi="微软雅黑" w:eastAsia="微软雅黑" w:cs="微软雅黑"/>
          <w:color w:val="191919"/>
          <w:spacing w:val="15"/>
          <w:sz w:val="24"/>
          <w:szCs w:val="24"/>
          <w:shd w:val="clear" w:fill="FFFFFF"/>
        </w:rPr>
        <w:t>吉林艺术学院、西安美术学院、上海音乐学院、上海戏剧学院、南京艺术学院、中国美术学院、景德镇陶瓷大学、山东艺术学院、山东工艺美术学院、湖北美术学院 、武汉音乐学院、广州美术学院、星海音乐学院、广西艺术学院、四川美术学院、云南艺术学院、西安音乐学院、新疆艺术学院、解放军艺术学院、四川音乐学院</w:t>
      </w:r>
    </w:p>
    <w:p>
      <w:pPr>
        <w:pStyle w:val="3"/>
        <w:keepNext w:val="0"/>
        <w:keepLines w:val="0"/>
        <w:widowControl/>
        <w:suppressLineNumbers w:val="0"/>
        <w:shd w:val="clear" w:fill="FFFFFF"/>
        <w:wordWrap w:val="0"/>
        <w:spacing w:before="0" w:beforeAutospacing="0" w:after="0" w:afterAutospacing="0" w:line="510" w:lineRule="atLeast"/>
        <w:ind w:left="0" w:right="0"/>
        <w:jc w:val="both"/>
        <w:rPr>
          <w:color w:val="666666"/>
          <w:sz w:val="24"/>
          <w:szCs w:val="24"/>
        </w:rPr>
      </w:pPr>
      <w:r>
        <w:rPr>
          <w:rStyle w:val="6"/>
          <w:rFonts w:hint="eastAsia" w:ascii="微软雅黑" w:hAnsi="微软雅黑" w:eastAsia="微软雅黑" w:cs="微软雅黑"/>
          <w:color w:val="191919"/>
          <w:spacing w:val="15"/>
          <w:sz w:val="27"/>
          <w:szCs w:val="27"/>
          <w:shd w:val="clear" w:fill="FFFFFF"/>
        </w:rPr>
        <w:t>参照独立设置本科艺术院校招生的院校名单</w:t>
      </w:r>
      <w:r>
        <w:rPr>
          <w:rStyle w:val="6"/>
          <w:rFonts w:hint="default" w:ascii="Arial" w:hAnsi="Arial" w:cs="Arial"/>
          <w:color w:val="191919"/>
          <w:spacing w:val="15"/>
          <w:sz w:val="27"/>
          <w:szCs w:val="27"/>
          <w:shd w:val="clear" w:fill="FFFFFF"/>
        </w:rPr>
        <w:t>(15</w:t>
      </w:r>
      <w:r>
        <w:rPr>
          <w:rStyle w:val="6"/>
          <w:rFonts w:hint="eastAsia" w:ascii="微软雅黑" w:hAnsi="微软雅黑" w:eastAsia="微软雅黑" w:cs="微软雅黑"/>
          <w:color w:val="191919"/>
          <w:spacing w:val="15"/>
          <w:sz w:val="27"/>
          <w:szCs w:val="27"/>
          <w:shd w:val="clear" w:fill="FFFFFF"/>
        </w:rPr>
        <w:t>所</w:t>
      </w:r>
      <w:r>
        <w:rPr>
          <w:rStyle w:val="6"/>
          <w:rFonts w:hint="default" w:ascii="Arial" w:hAnsi="Arial" w:cs="Arial"/>
          <w:color w:val="191919"/>
          <w:spacing w:val="15"/>
          <w:sz w:val="27"/>
          <w:szCs w:val="27"/>
          <w:shd w:val="clear" w:fill="FFFFFF"/>
        </w:rPr>
        <w:t>)</w:t>
      </w:r>
    </w:p>
    <w:p>
      <w:pPr>
        <w:pStyle w:val="3"/>
        <w:keepNext w:val="0"/>
        <w:keepLines w:val="0"/>
        <w:widowControl/>
        <w:suppressLineNumbers w:val="0"/>
        <w:shd w:val="clear" w:fill="FFFFFF"/>
        <w:wordWrap w:val="0"/>
        <w:spacing w:before="0" w:beforeAutospacing="0" w:after="0" w:afterAutospacing="0" w:line="510" w:lineRule="atLeast"/>
        <w:ind w:left="0" w:right="0"/>
        <w:jc w:val="both"/>
        <w:rPr>
          <w:color w:val="666666"/>
          <w:sz w:val="24"/>
          <w:szCs w:val="24"/>
        </w:rPr>
      </w:pPr>
      <w:r>
        <w:rPr>
          <w:rFonts w:hint="eastAsia" w:ascii="微软雅黑" w:hAnsi="微软雅黑" w:eastAsia="微软雅黑" w:cs="微软雅黑"/>
          <w:color w:val="191919"/>
          <w:spacing w:val="15"/>
          <w:sz w:val="24"/>
          <w:szCs w:val="24"/>
          <w:shd w:val="clear" w:fill="FFFFFF"/>
        </w:rPr>
        <w:t>清华大学、中国传媒大学、中央民族大学、东华大学、北京服装学院</w:t>
      </w:r>
    </w:p>
    <w:p>
      <w:pPr>
        <w:pStyle w:val="3"/>
        <w:keepNext w:val="0"/>
        <w:keepLines w:val="0"/>
        <w:widowControl/>
        <w:suppressLineNumbers w:val="0"/>
        <w:shd w:val="clear" w:fill="FFFFFF"/>
        <w:wordWrap w:val="0"/>
        <w:spacing w:before="0" w:beforeAutospacing="0" w:after="0" w:afterAutospacing="0" w:line="510" w:lineRule="atLeast"/>
        <w:ind w:left="0" w:right="0"/>
        <w:jc w:val="both"/>
        <w:rPr>
          <w:color w:val="666666"/>
          <w:sz w:val="24"/>
          <w:szCs w:val="24"/>
        </w:rPr>
      </w:pPr>
      <w:r>
        <w:rPr>
          <w:rFonts w:hint="eastAsia" w:ascii="微软雅黑" w:hAnsi="微软雅黑" w:eastAsia="微软雅黑" w:cs="微软雅黑"/>
          <w:color w:val="191919"/>
          <w:spacing w:val="15"/>
          <w:sz w:val="24"/>
          <w:szCs w:val="24"/>
          <w:shd w:val="clear" w:fill="FFFFFF"/>
        </w:rPr>
        <w:t>江南大学、天津工业大学、上海视觉艺术学院</w:t>
      </w:r>
      <w:r>
        <w:rPr>
          <w:rFonts w:hint="eastAsia" w:ascii="微软雅黑" w:hAnsi="微软雅黑" w:eastAsia="微软雅黑" w:cs="微软雅黑"/>
          <w:color w:val="333333"/>
          <w:spacing w:val="15"/>
          <w:sz w:val="25"/>
          <w:szCs w:val="25"/>
          <w:shd w:val="clear" w:fill="FFFFFF"/>
        </w:rPr>
        <w:t>、</w:t>
      </w:r>
      <w:r>
        <w:rPr>
          <w:rFonts w:hint="eastAsia" w:ascii="微软雅黑" w:hAnsi="微软雅黑" w:eastAsia="微软雅黑" w:cs="微软雅黑"/>
          <w:color w:val="191919"/>
          <w:spacing w:val="15"/>
          <w:sz w:val="24"/>
          <w:szCs w:val="24"/>
          <w:shd w:val="clear" w:fill="FFFFFF"/>
        </w:rPr>
        <w:t>浙江传媒学院</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191919"/>
          <w:spacing w:val="15"/>
          <w:sz w:val="24"/>
          <w:szCs w:val="24"/>
          <w:shd w:val="clear" w:fill="FFFFFF"/>
        </w:rPr>
        <w:t>仅限播音与主持艺术、广播电视编导、摄影、录音艺术专业</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333333"/>
          <w:spacing w:val="15"/>
          <w:sz w:val="25"/>
          <w:szCs w:val="25"/>
          <w:shd w:val="clear" w:fill="FFFFFF"/>
        </w:rPr>
        <w:t>、</w:t>
      </w:r>
      <w:r>
        <w:rPr>
          <w:rFonts w:hint="eastAsia" w:ascii="微软雅黑" w:hAnsi="微软雅黑" w:eastAsia="微软雅黑" w:cs="微软雅黑"/>
          <w:color w:val="191919"/>
          <w:spacing w:val="15"/>
          <w:sz w:val="24"/>
          <w:szCs w:val="24"/>
          <w:shd w:val="clear" w:fill="FFFFFF"/>
        </w:rPr>
        <w:t>内蒙古大学</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191919"/>
          <w:spacing w:val="15"/>
          <w:sz w:val="24"/>
          <w:szCs w:val="24"/>
          <w:shd w:val="clear" w:fill="FFFFFF"/>
        </w:rPr>
        <w:t>仅限音乐表演、表演、音乐学专业</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333333"/>
          <w:spacing w:val="15"/>
          <w:sz w:val="25"/>
          <w:szCs w:val="25"/>
          <w:shd w:val="clear" w:fill="FFFFFF"/>
        </w:rPr>
        <w:t>、</w:t>
      </w:r>
      <w:r>
        <w:rPr>
          <w:rFonts w:hint="eastAsia" w:ascii="微软雅黑" w:hAnsi="微软雅黑" w:eastAsia="微软雅黑" w:cs="微软雅黑"/>
          <w:color w:val="191919"/>
          <w:spacing w:val="15"/>
          <w:sz w:val="24"/>
          <w:szCs w:val="24"/>
          <w:shd w:val="clear" w:fill="FFFFFF"/>
        </w:rPr>
        <w:t>北京印刷学院</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191919"/>
          <w:spacing w:val="15"/>
          <w:sz w:val="24"/>
          <w:szCs w:val="24"/>
          <w:shd w:val="clear" w:fill="FFFFFF"/>
        </w:rPr>
        <w:t>仅限视觉传达设计专业</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333333"/>
          <w:spacing w:val="15"/>
          <w:sz w:val="25"/>
          <w:szCs w:val="25"/>
          <w:shd w:val="clear" w:fill="FFFFFF"/>
        </w:rPr>
        <w:t>、</w:t>
      </w:r>
      <w:r>
        <w:rPr>
          <w:rFonts w:hint="eastAsia" w:ascii="微软雅黑" w:hAnsi="微软雅黑" w:eastAsia="微软雅黑" w:cs="微软雅黑"/>
          <w:color w:val="191919"/>
          <w:spacing w:val="15"/>
          <w:sz w:val="24"/>
          <w:szCs w:val="24"/>
          <w:shd w:val="clear" w:fill="FFFFFF"/>
        </w:rPr>
        <w:t>苏州大学</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191919"/>
          <w:spacing w:val="15"/>
          <w:sz w:val="24"/>
          <w:szCs w:val="24"/>
          <w:shd w:val="clear" w:fill="FFFFFF"/>
        </w:rPr>
        <w:t>仅限产品设计、环境设计、视觉传达设计、服装与服饰设计专业</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333333"/>
          <w:spacing w:val="15"/>
          <w:sz w:val="25"/>
          <w:szCs w:val="25"/>
          <w:shd w:val="clear" w:fill="FFFFFF"/>
        </w:rPr>
        <w:t>、</w:t>
      </w:r>
      <w:r>
        <w:rPr>
          <w:rFonts w:hint="eastAsia" w:ascii="微软雅黑" w:hAnsi="微软雅黑" w:eastAsia="微软雅黑" w:cs="微软雅黑"/>
          <w:color w:val="191919"/>
          <w:spacing w:val="15"/>
          <w:sz w:val="24"/>
          <w:szCs w:val="24"/>
          <w:shd w:val="clear" w:fill="FFFFFF"/>
        </w:rPr>
        <w:t>浙江理工大学</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191919"/>
          <w:spacing w:val="15"/>
          <w:sz w:val="24"/>
          <w:szCs w:val="24"/>
          <w:shd w:val="clear" w:fill="FFFFFF"/>
        </w:rPr>
        <w:t>仅限产品设计、环境设计、视觉传达设计、服装与服饰设计专业</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333333"/>
          <w:spacing w:val="15"/>
          <w:sz w:val="25"/>
          <w:szCs w:val="25"/>
          <w:shd w:val="clear" w:fill="FFFFFF"/>
        </w:rPr>
        <w:t>、</w:t>
      </w:r>
      <w:r>
        <w:rPr>
          <w:rFonts w:hint="eastAsia" w:ascii="微软雅黑" w:hAnsi="微软雅黑" w:eastAsia="微软雅黑" w:cs="微软雅黑"/>
          <w:color w:val="191919"/>
          <w:spacing w:val="15"/>
          <w:sz w:val="24"/>
          <w:szCs w:val="24"/>
          <w:shd w:val="clear" w:fill="FFFFFF"/>
        </w:rPr>
        <w:t>武汉设计工程学院</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191919"/>
          <w:spacing w:val="15"/>
          <w:sz w:val="24"/>
          <w:szCs w:val="24"/>
          <w:shd w:val="clear" w:fill="FFFFFF"/>
        </w:rPr>
        <w:t>仅限表演、播音与主持艺术、戏剧影视美术设计专业</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333333"/>
          <w:spacing w:val="15"/>
          <w:sz w:val="25"/>
          <w:szCs w:val="25"/>
          <w:shd w:val="clear" w:fill="FFFFFF"/>
        </w:rPr>
        <w:t>、</w:t>
      </w:r>
      <w:r>
        <w:rPr>
          <w:rFonts w:hint="eastAsia" w:ascii="微软雅黑" w:hAnsi="微软雅黑" w:eastAsia="微软雅黑" w:cs="微软雅黑"/>
          <w:color w:val="191919"/>
          <w:spacing w:val="15"/>
          <w:sz w:val="24"/>
          <w:szCs w:val="24"/>
          <w:shd w:val="clear" w:fill="FFFFFF"/>
        </w:rPr>
        <w:t>浙江音乐学院</w:t>
      </w:r>
      <w:r>
        <w:rPr>
          <w:rFonts w:hint="default" w:ascii="Arial" w:hAnsi="Arial" w:cs="Arial"/>
          <w:color w:val="191919"/>
          <w:spacing w:val="15"/>
          <w:sz w:val="24"/>
          <w:szCs w:val="24"/>
          <w:shd w:val="clear" w:fill="FFFFFF"/>
        </w:rPr>
        <w:t>(</w:t>
      </w:r>
      <w:r>
        <w:rPr>
          <w:rFonts w:hint="eastAsia" w:ascii="微软雅黑" w:hAnsi="微软雅黑" w:eastAsia="微软雅黑" w:cs="微软雅黑"/>
          <w:color w:val="191919"/>
          <w:spacing w:val="15"/>
          <w:sz w:val="24"/>
          <w:szCs w:val="24"/>
          <w:shd w:val="clear" w:fill="FFFFFF"/>
        </w:rPr>
        <w:t>仅限音乐学、音乐表演、作曲与作曲技术理论、舞蹈表演、舞蹈学专业</w:t>
      </w:r>
      <w:r>
        <w:rPr>
          <w:rFonts w:hint="default" w:ascii="Arial" w:hAnsi="Arial" w:cs="Arial"/>
          <w:color w:val="191919"/>
          <w:spacing w:val="15"/>
          <w:sz w:val="24"/>
          <w:szCs w:val="24"/>
          <w:shd w:val="clear" w:fill="FFFFFF"/>
        </w:rPr>
        <w:t>)</w:t>
      </w:r>
    </w:p>
    <w:p>
      <w:pPr>
        <w:pStyle w:val="3"/>
        <w:keepNext w:val="0"/>
        <w:keepLines w:val="0"/>
        <w:widowControl/>
        <w:suppressLineNumbers w:val="0"/>
        <w:wordWrap w:val="0"/>
        <w:spacing w:before="0" w:beforeAutospacing="0" w:after="210" w:afterAutospacing="0" w:line="450" w:lineRule="atLeast"/>
        <w:ind w:left="0" w:right="556"/>
        <w:rPr>
          <w:color w:val="666666"/>
          <w:sz w:val="24"/>
          <w:szCs w:val="24"/>
        </w:rPr>
      </w:pPr>
      <w:r>
        <w:rPr>
          <w:rFonts w:ascii="Calibri" w:hAnsi="Calibri" w:cs="Calibri"/>
          <w:color w:val="666666"/>
          <w:sz w:val="28"/>
          <w:szCs w:val="28"/>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E71DC"/>
    <w:rsid w:val="1EE25614"/>
    <w:rsid w:val="21CF77B5"/>
    <w:rsid w:val="22FB184C"/>
    <w:rsid w:val="25F0179D"/>
    <w:rsid w:val="312C6E1D"/>
    <w:rsid w:val="35E8045B"/>
    <w:rsid w:val="4A5C4992"/>
    <w:rsid w:val="7265124F"/>
    <w:rsid w:val="734528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1787E0"/>
      <w:u w:val="none"/>
    </w:rPr>
  </w:style>
  <w:style w:type="character" w:styleId="8">
    <w:name w:val="Hyperlink"/>
    <w:basedOn w:val="5"/>
    <w:qFormat/>
    <w:uiPriority w:val="0"/>
    <w:rPr>
      <w:color w:val="1787E0"/>
      <w:u w:val="none"/>
    </w:rPr>
  </w:style>
  <w:style w:type="character" w:customStyle="1" w:styleId="9">
    <w:name w:val="first-child"/>
    <w:basedOn w:val="5"/>
    <w:qFormat/>
    <w:uiPriority w:val="0"/>
  </w:style>
  <w:style w:type="character" w:customStyle="1" w:styleId="10">
    <w:name w:val="layui-layer-tabnow"/>
    <w:basedOn w:val="5"/>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2019-03-21T07:34:02Z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