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2"/>
          <w:szCs w:val="32"/>
        </w:rPr>
      </w:pPr>
      <w:r>
        <w:rPr>
          <w:rFonts w:hint="eastAsia" w:ascii="黑体" w:hAnsi="黑体" w:eastAsia="黑体"/>
          <w:sz w:val="32"/>
          <w:szCs w:val="32"/>
          <w:lang w:val="en-US" w:eastAsia="zh-CN"/>
        </w:rPr>
        <w:t>2020</w:t>
      </w:r>
      <w:r>
        <w:rPr>
          <w:rFonts w:hint="eastAsia" w:ascii="黑体" w:hAnsi="黑体" w:eastAsia="黑体"/>
          <w:sz w:val="32"/>
          <w:szCs w:val="32"/>
        </w:rPr>
        <w:t>年</w:t>
      </w:r>
      <w:r>
        <w:rPr>
          <w:rFonts w:hint="eastAsia" w:ascii="黑体" w:hAnsi="黑体" w:eastAsia="黑体"/>
          <w:sz w:val="32"/>
          <w:szCs w:val="32"/>
          <w:lang w:val="en-US" w:eastAsia="zh-CN"/>
        </w:rPr>
        <w:t>浙江工业大学硕士研究生招生</w:t>
      </w:r>
      <w:r>
        <w:rPr>
          <w:rFonts w:hint="eastAsia" w:ascii="黑体" w:hAnsi="黑体" w:eastAsia="黑体"/>
          <w:sz w:val="32"/>
          <w:szCs w:val="32"/>
        </w:rPr>
        <w:t>学位点简介</w:t>
      </w:r>
    </w:p>
    <w:p>
      <w:pPr>
        <w:jc w:val="left"/>
        <w:rPr>
          <w:rFonts w:ascii="宋体" w:hAnsi="宋体" w:eastAsia="宋体"/>
          <w:b/>
          <w:color w:val="0070C0"/>
          <w:sz w:val="28"/>
          <w:szCs w:val="28"/>
        </w:rPr>
      </w:pPr>
      <w:r>
        <w:rPr>
          <w:rFonts w:hint="eastAsia" w:ascii="宋体" w:hAnsi="宋体" w:eastAsia="宋体"/>
          <w:b/>
          <w:color w:val="0070C0"/>
          <w:sz w:val="28"/>
          <w:szCs w:val="28"/>
        </w:rPr>
        <w:t>目录</w:t>
      </w: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001</w:t>
      </w:r>
      <w:r>
        <w:rPr>
          <w:b/>
          <w:color w:val="000000"/>
          <w:sz w:val="20"/>
          <w:u w:val="none"/>
        </w:rPr>
        <w:t>化学工程学院</w:t>
      </w:r>
    </w:p>
    <w:p>
      <w:pPr>
        <w:numPr>
          <w:ilvl w:val="0"/>
          <w:numId w:val="1"/>
        </w:numPr>
      </w:pPr>
      <w:r>
        <w:t>070300          化学</w:t>
      </w:r>
    </w:p>
    <w:p>
      <w:pPr>
        <w:numPr>
          <w:ilvl w:val="0"/>
          <w:numId w:val="1"/>
        </w:numPr>
      </w:pPr>
      <w:r>
        <w:t>081700          化学工程与技术</w:t>
      </w:r>
    </w:p>
    <w:p>
      <w:pPr>
        <w:numPr>
          <w:ilvl w:val="0"/>
          <w:numId w:val="1"/>
        </w:numPr>
      </w:pPr>
      <w:r>
        <w:t>085600          材料与化工</w:t>
      </w:r>
      <w:r>
        <w:rPr>
          <w:rFonts w:hint="eastAsia"/>
          <w:lang w:eastAsia="zh-CN"/>
        </w:rPr>
        <w:t>（</w:t>
      </w:r>
      <w:r>
        <w:rPr>
          <w:rFonts w:hint="eastAsia"/>
          <w:lang w:val="en-US" w:eastAsia="zh-CN"/>
        </w:rPr>
        <w:t>专业学位）</w:t>
      </w:r>
    </w:p>
    <w:p>
      <w:pPr>
        <w:numPr>
          <w:ilvl w:val="0"/>
          <w:numId w:val="1"/>
        </w:numPr>
      </w:pPr>
      <w:r>
        <w:t>090403          农药学</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002</w:t>
      </w:r>
      <w:r>
        <w:rPr>
          <w:b/>
          <w:color w:val="000000"/>
          <w:sz w:val="20"/>
          <w:u w:val="none"/>
        </w:rPr>
        <w:t>机械工程学院</w:t>
      </w:r>
    </w:p>
    <w:p>
      <w:pPr>
        <w:numPr>
          <w:ilvl w:val="0"/>
          <w:numId w:val="2"/>
        </w:numPr>
      </w:pPr>
      <w:r>
        <w:t>080200          机械工程</w:t>
      </w:r>
    </w:p>
    <w:p>
      <w:pPr>
        <w:numPr>
          <w:ilvl w:val="0"/>
          <w:numId w:val="2"/>
        </w:numPr>
      </w:pPr>
      <w:r>
        <w:t>080700          动力工程及工程热物理</w:t>
      </w:r>
    </w:p>
    <w:p>
      <w:pPr>
        <w:numPr>
          <w:ilvl w:val="0"/>
          <w:numId w:val="2"/>
        </w:numPr>
      </w:pPr>
      <w:r>
        <w:t>085500          机械（专业学位）</w:t>
      </w:r>
    </w:p>
    <w:p>
      <w:pPr>
        <w:numPr>
          <w:ilvl w:val="0"/>
          <w:numId w:val="1"/>
        </w:numPr>
      </w:pPr>
      <w:r>
        <w:t>085800          能源动力</w:t>
      </w:r>
      <w:r>
        <w:rPr>
          <w:rFonts w:hint="eastAsia"/>
          <w:lang w:eastAsia="zh-CN"/>
        </w:rPr>
        <w:t>（</w:t>
      </w:r>
      <w:r>
        <w:rPr>
          <w:rFonts w:hint="eastAsia"/>
          <w:lang w:val="en-US" w:eastAsia="zh-CN"/>
        </w:rPr>
        <w:t>专业学位）</w:t>
      </w:r>
    </w:p>
    <w:p>
      <w:pPr>
        <w:numPr>
          <w:ilvl w:val="0"/>
          <w:numId w:val="1"/>
        </w:numPr>
      </w:pPr>
      <w:r>
        <w:t>125603          工业工程与管理</w:t>
      </w:r>
      <w:r>
        <w:rPr>
          <w:rFonts w:hint="eastAsia"/>
          <w:lang w:eastAsia="zh-CN"/>
        </w:rPr>
        <w:t>（</w:t>
      </w:r>
      <w:r>
        <w:rPr>
          <w:rFonts w:hint="eastAsia"/>
          <w:lang w:val="en-US" w:eastAsia="zh-CN"/>
        </w:rPr>
        <w:t>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003</w:t>
      </w:r>
      <w:r>
        <w:rPr>
          <w:b/>
          <w:color w:val="000000"/>
          <w:sz w:val="20"/>
          <w:u w:val="none"/>
        </w:rPr>
        <w:t>信息工程学院</w:t>
      </w:r>
    </w:p>
    <w:p>
      <w:pPr>
        <w:numPr>
          <w:ilvl w:val="0"/>
          <w:numId w:val="3"/>
        </w:numPr>
      </w:pPr>
      <w:r>
        <w:t>081000          信息与通信工程</w:t>
      </w:r>
    </w:p>
    <w:p>
      <w:pPr>
        <w:numPr>
          <w:ilvl w:val="0"/>
          <w:numId w:val="3"/>
        </w:numPr>
      </w:pPr>
      <w:r>
        <w:t>081100          控制科学与工程</w:t>
      </w:r>
    </w:p>
    <w:p>
      <w:pPr>
        <w:numPr>
          <w:ilvl w:val="0"/>
          <w:numId w:val="1"/>
        </w:numPr>
      </w:pPr>
      <w:r>
        <w:t>085400          电子信息</w:t>
      </w:r>
      <w:r>
        <w:rPr>
          <w:rFonts w:hint="eastAsia"/>
          <w:lang w:eastAsia="zh-CN"/>
        </w:rPr>
        <w:t>（</w:t>
      </w:r>
      <w:r>
        <w:rPr>
          <w:rFonts w:hint="eastAsia"/>
          <w:lang w:val="en-US" w:eastAsia="zh-CN"/>
        </w:rPr>
        <w:t>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004</w:t>
      </w:r>
      <w:r>
        <w:rPr>
          <w:b/>
          <w:color w:val="000000"/>
          <w:sz w:val="20"/>
          <w:u w:val="none"/>
        </w:rPr>
        <w:t>管理学院</w:t>
      </w:r>
    </w:p>
    <w:p>
      <w:pPr>
        <w:numPr>
          <w:ilvl w:val="0"/>
          <w:numId w:val="4"/>
        </w:numPr>
      </w:pPr>
      <w:r>
        <w:t>120100          管理科学与工程</w:t>
      </w:r>
    </w:p>
    <w:p>
      <w:pPr>
        <w:numPr>
          <w:ilvl w:val="0"/>
          <w:numId w:val="4"/>
        </w:numPr>
      </w:pPr>
      <w:r>
        <w:t>120200          工商管理</w:t>
      </w:r>
    </w:p>
    <w:p>
      <w:pPr>
        <w:numPr>
          <w:ilvl w:val="0"/>
          <w:numId w:val="4"/>
        </w:numPr>
      </w:pPr>
      <w:r>
        <w:t>125300          会计（专业学位）</w:t>
      </w:r>
    </w:p>
    <w:p>
      <w:pPr>
        <w:numPr>
          <w:ilvl w:val="0"/>
          <w:numId w:val="4"/>
        </w:numPr>
      </w:pPr>
      <w:r>
        <w:t>125604          物流工程与管理（专业学位）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005</w:t>
      </w:r>
      <w:r>
        <w:rPr>
          <w:b/>
          <w:color w:val="000000"/>
          <w:sz w:val="20"/>
          <w:u w:val="none"/>
        </w:rPr>
        <w:t>生物工程学院</w:t>
      </w:r>
    </w:p>
    <w:p>
      <w:pPr>
        <w:numPr>
          <w:ilvl w:val="0"/>
          <w:numId w:val="5"/>
        </w:numPr>
      </w:pPr>
      <w:r>
        <w:t>071005          微生物学</w:t>
      </w:r>
    </w:p>
    <w:p>
      <w:pPr>
        <w:numPr>
          <w:ilvl w:val="0"/>
          <w:numId w:val="5"/>
        </w:numPr>
      </w:pPr>
      <w:r>
        <w:t>071010          生物化学与分子生物学</w:t>
      </w:r>
    </w:p>
    <w:p>
      <w:pPr>
        <w:numPr>
          <w:ilvl w:val="0"/>
          <w:numId w:val="5"/>
        </w:numPr>
      </w:pPr>
      <w:r>
        <w:rPr>
          <w:rFonts w:hint="eastAsia"/>
          <w:lang w:val="en-US" w:eastAsia="zh-CN"/>
        </w:rPr>
        <w:t>081703          生物化工</w:t>
      </w:r>
    </w:p>
    <w:p>
      <w:pPr>
        <w:numPr>
          <w:ilvl w:val="0"/>
          <w:numId w:val="5"/>
        </w:numPr>
      </w:pPr>
      <w:r>
        <w:t>083600          生物工程</w:t>
      </w:r>
    </w:p>
    <w:p>
      <w:pPr>
        <w:numPr>
          <w:ilvl w:val="0"/>
          <w:numId w:val="5"/>
        </w:numPr>
      </w:pPr>
      <w:r>
        <w:t>086000          生物与医药（专业学位）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006</w:t>
      </w:r>
      <w:r>
        <w:rPr>
          <w:b/>
          <w:color w:val="000000"/>
          <w:sz w:val="20"/>
          <w:u w:val="none"/>
        </w:rPr>
        <w:t>建筑工程学院</w:t>
      </w:r>
    </w:p>
    <w:p>
      <w:pPr>
        <w:numPr>
          <w:ilvl w:val="0"/>
          <w:numId w:val="6"/>
        </w:numPr>
      </w:pPr>
      <w:r>
        <w:t>081300          建筑学</w:t>
      </w:r>
    </w:p>
    <w:p>
      <w:pPr>
        <w:numPr>
          <w:ilvl w:val="0"/>
          <w:numId w:val="6"/>
        </w:numPr>
      </w:pPr>
      <w:r>
        <w:t>081400          土木工程</w:t>
      </w:r>
    </w:p>
    <w:p>
      <w:pPr>
        <w:numPr>
          <w:ilvl w:val="0"/>
          <w:numId w:val="6"/>
        </w:numPr>
      </w:pPr>
      <w:r>
        <w:t>083300          城乡规划学</w:t>
      </w:r>
    </w:p>
    <w:p>
      <w:pPr>
        <w:numPr>
          <w:ilvl w:val="0"/>
          <w:numId w:val="6"/>
        </w:numPr>
      </w:pPr>
      <w:r>
        <w:t>085900          土木水利（专业学位）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007</w:t>
      </w:r>
      <w:r>
        <w:rPr>
          <w:b/>
          <w:color w:val="000000"/>
          <w:sz w:val="20"/>
          <w:u w:val="none"/>
        </w:rPr>
        <w:t>药学院</w:t>
      </w:r>
    </w:p>
    <w:p>
      <w:pPr>
        <w:numPr>
          <w:ilvl w:val="0"/>
          <w:numId w:val="7"/>
        </w:numPr>
      </w:pPr>
      <w:r>
        <w:t>086000          生物与医药（专业学位）</w:t>
      </w:r>
    </w:p>
    <w:p>
      <w:pPr>
        <w:numPr>
          <w:ilvl w:val="0"/>
          <w:numId w:val="7"/>
        </w:numPr>
      </w:pPr>
      <w:r>
        <w:t>100700          药学</w:t>
      </w:r>
    </w:p>
    <w:p>
      <w:pPr>
        <w:numPr>
          <w:ilvl w:val="0"/>
          <w:numId w:val="7"/>
        </w:numPr>
      </w:pPr>
      <w:r>
        <w:t>105500          药学（专业学位）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008</w:t>
      </w:r>
      <w:r>
        <w:rPr>
          <w:b/>
          <w:color w:val="000000"/>
          <w:sz w:val="20"/>
          <w:u w:val="none"/>
        </w:rPr>
        <w:t>计算机科学与技术学院</w:t>
      </w:r>
    </w:p>
    <w:p>
      <w:pPr>
        <w:numPr>
          <w:ilvl w:val="0"/>
          <w:numId w:val="8"/>
        </w:numPr>
      </w:pPr>
      <w:r>
        <w:t>081200          计算机科学与技术</w:t>
      </w:r>
    </w:p>
    <w:p>
      <w:pPr>
        <w:numPr>
          <w:ilvl w:val="0"/>
          <w:numId w:val="8"/>
        </w:numPr>
      </w:pPr>
      <w:r>
        <w:t>083500          软件工程</w:t>
      </w:r>
    </w:p>
    <w:p>
      <w:pPr>
        <w:numPr>
          <w:ilvl w:val="0"/>
          <w:numId w:val="8"/>
        </w:numPr>
      </w:pPr>
      <w:r>
        <w:t>085400          电子信息（专业学位）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009</w:t>
      </w:r>
      <w:r>
        <w:rPr>
          <w:b/>
          <w:color w:val="000000"/>
          <w:sz w:val="20"/>
          <w:u w:val="none"/>
        </w:rPr>
        <w:t>理学院</w:t>
      </w:r>
    </w:p>
    <w:p>
      <w:pPr>
        <w:numPr>
          <w:ilvl w:val="0"/>
          <w:numId w:val="9"/>
        </w:numPr>
      </w:pPr>
      <w:r>
        <w:t>070100          数学</w:t>
      </w:r>
    </w:p>
    <w:p>
      <w:pPr>
        <w:numPr>
          <w:ilvl w:val="0"/>
          <w:numId w:val="9"/>
        </w:numPr>
      </w:pPr>
      <w:r>
        <w:t>070200          物理学</w:t>
      </w:r>
    </w:p>
    <w:p>
      <w:pPr>
        <w:numPr>
          <w:ilvl w:val="0"/>
          <w:numId w:val="9"/>
        </w:numPr>
      </w:pPr>
      <w:r>
        <w:t>080300          光学工程</w:t>
      </w:r>
    </w:p>
    <w:p>
      <w:pPr>
        <w:numPr>
          <w:ilvl w:val="0"/>
          <w:numId w:val="9"/>
        </w:numPr>
      </w:pPr>
      <w:r>
        <w:t>085400          电子信息（专业学位）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010</w:t>
      </w:r>
      <w:r>
        <w:rPr>
          <w:b/>
          <w:color w:val="000000"/>
          <w:sz w:val="20"/>
          <w:u w:val="none"/>
        </w:rPr>
        <w:t>人文学院</w:t>
      </w:r>
    </w:p>
    <w:p>
      <w:pPr>
        <w:numPr>
          <w:ilvl w:val="0"/>
          <w:numId w:val="10"/>
        </w:numPr>
      </w:pPr>
      <w:r>
        <w:t>045300          汉语国际教育（专业学位）</w:t>
      </w:r>
    </w:p>
    <w:p>
      <w:pPr>
        <w:numPr>
          <w:ilvl w:val="0"/>
          <w:numId w:val="10"/>
        </w:numPr>
      </w:pPr>
      <w:r>
        <w:t>050100          中国语言文学</w:t>
      </w:r>
    </w:p>
    <w:p>
      <w:pPr>
        <w:numPr>
          <w:ilvl w:val="0"/>
          <w:numId w:val="10"/>
        </w:numPr>
      </w:pPr>
      <w:r>
        <w:t>050300          新闻传播学</w:t>
      </w:r>
    </w:p>
    <w:p>
      <w:pPr>
        <w:numPr>
          <w:ilvl w:val="0"/>
          <w:numId w:val="10"/>
        </w:numPr>
      </w:pPr>
      <w:r>
        <w:t>055200          新闻与传播（专业学位）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011</w:t>
      </w:r>
      <w:r>
        <w:rPr>
          <w:b/>
          <w:color w:val="000000"/>
          <w:sz w:val="20"/>
          <w:u w:val="none"/>
        </w:rPr>
        <w:t>政治与公共管理学院</w:t>
      </w:r>
    </w:p>
    <w:p>
      <w:pPr>
        <w:numPr>
          <w:ilvl w:val="0"/>
          <w:numId w:val="11"/>
        </w:numPr>
      </w:pPr>
      <w:r>
        <w:t>120400          公共管理</w:t>
      </w:r>
    </w:p>
    <w:p>
      <w:pPr>
        <w:numPr>
          <w:ilvl w:val="0"/>
          <w:numId w:val="11"/>
        </w:numPr>
      </w:pPr>
      <w:r>
        <w:t>125200          公共管理(MPA）（专业学位）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012</w:t>
      </w:r>
      <w:r>
        <w:rPr>
          <w:b/>
          <w:color w:val="000000"/>
          <w:sz w:val="20"/>
          <w:u w:val="none"/>
        </w:rPr>
        <w:t>教育科学与技术学院</w:t>
      </w:r>
    </w:p>
    <w:p>
      <w:pPr>
        <w:numPr>
          <w:ilvl w:val="0"/>
          <w:numId w:val="12"/>
        </w:numPr>
      </w:pPr>
      <w:r>
        <w:t>040100          教育学</w:t>
      </w:r>
    </w:p>
    <w:p>
      <w:pPr>
        <w:numPr>
          <w:ilvl w:val="0"/>
          <w:numId w:val="12"/>
        </w:numPr>
      </w:pPr>
      <w:r>
        <w:t>045400          应用心理（专业学位）</w:t>
      </w:r>
    </w:p>
    <w:p>
      <w:pPr>
        <w:numPr>
          <w:ilvl w:val="0"/>
          <w:numId w:val="12"/>
        </w:numPr>
      </w:pPr>
      <w:r>
        <w:t>078401          教育技术学</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014</w:t>
      </w:r>
      <w:r>
        <w:rPr>
          <w:b/>
          <w:color w:val="000000"/>
          <w:sz w:val="20"/>
          <w:u w:val="none"/>
        </w:rPr>
        <w:t>法学院</w:t>
      </w:r>
    </w:p>
    <w:p>
      <w:pPr>
        <w:numPr>
          <w:ilvl w:val="0"/>
          <w:numId w:val="13"/>
        </w:numPr>
      </w:pPr>
      <w:r>
        <w:t>030100          法学</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015</w:t>
      </w:r>
      <w:r>
        <w:rPr>
          <w:b/>
          <w:color w:val="000000"/>
          <w:sz w:val="20"/>
          <w:u w:val="none"/>
        </w:rPr>
        <w:t>设计艺术学院</w:t>
      </w:r>
    </w:p>
    <w:p>
      <w:pPr>
        <w:numPr>
          <w:ilvl w:val="0"/>
          <w:numId w:val="14"/>
        </w:numPr>
      </w:pPr>
      <w:r>
        <w:t>130500          设计学</w:t>
      </w:r>
    </w:p>
    <w:p>
      <w:pPr>
        <w:numPr>
          <w:ilvl w:val="0"/>
          <w:numId w:val="14"/>
        </w:numPr>
      </w:pPr>
      <w:r>
        <w:t>135108          艺术设计（专业学位）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017</w:t>
      </w:r>
      <w:r>
        <w:rPr>
          <w:b/>
          <w:color w:val="000000"/>
          <w:sz w:val="20"/>
          <w:u w:val="none"/>
        </w:rPr>
        <w:t>长三角绿色制药协同创新中心</w:t>
      </w:r>
    </w:p>
    <w:p>
      <w:pPr>
        <w:numPr>
          <w:ilvl w:val="0"/>
          <w:numId w:val="15"/>
        </w:numPr>
      </w:pPr>
      <w:r>
        <w:t>086000          生物与医药（专业学位）</w:t>
      </w:r>
    </w:p>
    <w:p>
      <w:pPr>
        <w:numPr>
          <w:ilvl w:val="0"/>
          <w:numId w:val="15"/>
        </w:numPr>
      </w:pPr>
      <w:r>
        <w:t>100700          药学</w:t>
      </w:r>
    </w:p>
    <w:p>
      <w:pPr>
        <w:numPr>
          <w:ilvl w:val="0"/>
          <w:numId w:val="15"/>
        </w:numPr>
      </w:pPr>
      <w:r>
        <w:t>105500          药学（专业学位）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018</w:t>
      </w:r>
      <w:r>
        <w:rPr>
          <w:b/>
          <w:color w:val="000000"/>
          <w:sz w:val="20"/>
          <w:u w:val="none"/>
        </w:rPr>
        <w:t>材料科学与工程学院</w:t>
      </w:r>
    </w:p>
    <w:p>
      <w:pPr>
        <w:numPr>
          <w:ilvl w:val="0"/>
          <w:numId w:val="16"/>
        </w:numPr>
      </w:pPr>
      <w:r>
        <w:t>080500          材料科学与工程</w:t>
      </w:r>
    </w:p>
    <w:p>
      <w:pPr>
        <w:numPr>
          <w:ilvl w:val="0"/>
          <w:numId w:val="16"/>
        </w:numPr>
      </w:pPr>
      <w:r>
        <w:t>085600          材料与化工（专业学位）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019</w:t>
      </w:r>
      <w:r>
        <w:rPr>
          <w:b/>
          <w:color w:val="000000"/>
          <w:sz w:val="20"/>
          <w:u w:val="none"/>
        </w:rPr>
        <w:t>海洋学院</w:t>
      </w:r>
    </w:p>
    <w:p>
      <w:pPr>
        <w:numPr>
          <w:ilvl w:val="0"/>
          <w:numId w:val="17"/>
        </w:numPr>
      </w:pPr>
      <w:r>
        <w:t>083200          食品科学与工程</w:t>
      </w:r>
    </w:p>
    <w:p>
      <w:pPr>
        <w:numPr>
          <w:ilvl w:val="0"/>
          <w:numId w:val="17"/>
        </w:numPr>
      </w:pPr>
      <w:r>
        <w:t>086000          生物与医药</w:t>
      </w:r>
    </w:p>
    <w:p>
      <w:pPr>
        <w:numPr>
          <w:ilvl w:val="0"/>
          <w:numId w:val="16"/>
        </w:numPr>
      </w:pPr>
      <w:r>
        <w:t>095135          食品加工与安全（专业学位）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023</w:t>
      </w:r>
      <w:r>
        <w:rPr>
          <w:b/>
          <w:color w:val="000000"/>
          <w:sz w:val="20"/>
          <w:u w:val="none"/>
        </w:rPr>
        <w:t>马克思主义学院</w:t>
      </w:r>
    </w:p>
    <w:p>
      <w:pPr>
        <w:numPr>
          <w:ilvl w:val="0"/>
          <w:numId w:val="18"/>
        </w:numPr>
      </w:pPr>
      <w:r>
        <w:t>010108          科学技术哲学</w:t>
      </w:r>
    </w:p>
    <w:p>
      <w:pPr>
        <w:numPr>
          <w:ilvl w:val="0"/>
          <w:numId w:val="18"/>
        </w:numPr>
      </w:pPr>
      <w:r>
        <w:t>030500          马克思主义理论</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024</w:t>
      </w:r>
      <w:r>
        <w:rPr>
          <w:b/>
          <w:color w:val="000000"/>
          <w:sz w:val="20"/>
          <w:u w:val="none"/>
        </w:rPr>
        <w:t>环境学院</w:t>
      </w:r>
    </w:p>
    <w:p>
      <w:pPr>
        <w:numPr>
          <w:ilvl w:val="0"/>
          <w:numId w:val="19"/>
        </w:numPr>
      </w:pPr>
      <w:r>
        <w:t>083000          环境科学与工程</w:t>
      </w:r>
    </w:p>
    <w:p>
      <w:pPr>
        <w:numPr>
          <w:ilvl w:val="0"/>
          <w:numId w:val="16"/>
        </w:numPr>
      </w:pPr>
      <w:r>
        <w:t>085700          资源与环境（专业学位）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025</w:t>
      </w:r>
      <w:r>
        <w:rPr>
          <w:b/>
          <w:color w:val="000000"/>
          <w:sz w:val="20"/>
          <w:u w:val="none"/>
        </w:rPr>
        <w:t>经济学院</w:t>
      </w:r>
    </w:p>
    <w:p>
      <w:pPr>
        <w:numPr>
          <w:ilvl w:val="0"/>
          <w:numId w:val="20"/>
        </w:numPr>
      </w:pPr>
      <w:r>
        <w:t>020200          应用经济学</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宋体" w:hAnsi="宋体" w:eastAsia="宋体"/>
          <w:b/>
          <w:sz w:val="28"/>
          <w:szCs w:val="28"/>
        </w:rPr>
      </w:pPr>
      <w:r>
        <w:rPr>
          <w:rFonts w:ascii="宋体" w:hAnsi="宋体" w:eastAsia="宋体"/>
          <w:b/>
          <w:sz w:val="28"/>
          <w:szCs w:val="28"/>
        </w:rPr>
        <w:tab/>
      </w:r>
      <w:r>
        <w:rPr>
          <w:rFonts w:hint="eastAsia" w:asciiTheme="minorEastAsia" w:hAnsiTheme="minorEastAsia" w:eastAsiaTheme="minorEastAsia" w:cstheme="minorEastAsia"/>
          <w:b/>
          <w:color w:val="000000" w:themeColor="text1"/>
          <w:sz w:val="20"/>
          <w:szCs w:val="20"/>
          <w:highlight w:val="none"/>
          <w:shd w:val="pct10" w:color="auto" w:fill="FFFFFF"/>
          <w:lang w:val="en-US" w:eastAsia="zh-CN"/>
          <w14:textFill>
            <w14:solidFill>
              <w14:schemeClr w14:val="tx1"/>
            </w14:solidFill>
          </w14:textFill>
        </w:rPr>
        <w:t>099</w:t>
      </w:r>
      <w:r>
        <w:rPr>
          <w:b/>
          <w:color w:val="000000"/>
          <w:sz w:val="20"/>
          <w:u w:val="none"/>
        </w:rPr>
        <w:t>MBA教育中心</w:t>
      </w:r>
    </w:p>
    <w:p>
      <w:pPr>
        <w:numPr>
          <w:ilvl w:val="0"/>
          <w:numId w:val="21"/>
        </w:numPr>
      </w:pPr>
      <w:r>
        <w:t>125100          工商管理（专业学位）</w:t>
      </w:r>
    </w:p>
    <w:p>
      <w:pPr>
        <w:numPr>
          <w:ilvl w:val="0"/>
          <w:numId w:val="21"/>
        </w:numPr>
      </w:pPr>
      <w:r>
        <w:t>125601          工程管理（专业学位）</w:t>
      </w:r>
    </w:p>
    <w:p>
      <w:pPr>
        <w:jc w:val="left"/>
        <w:rPr>
          <w:rFonts w:ascii="仿宋" w:hAnsi="仿宋" w:eastAsia="仿宋"/>
          <w:b/>
          <w:color w:val="0070C0"/>
          <w:sz w:val="24"/>
          <w:szCs w:val="24"/>
        </w:rPr>
      </w:pPr>
      <w:r>
        <w:rPr>
          <w:rFonts w:ascii="宋体" w:hAnsi="宋体" w:eastAsia="宋体"/>
          <w:b/>
          <w:sz w:val="28"/>
          <w:szCs w:val="28"/>
        </w:rPr>
        <w:tab/>
      </w:r>
      <w:r>
        <w:rPr>
          <w:rFonts w:ascii="宋体" w:hAnsi="宋体" w:eastAsia="宋体"/>
          <w:b/>
          <w:sz w:val="28"/>
          <w:szCs w:val="28"/>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r>
        <w:rPr>
          <w:rFonts w:ascii="Times New Roman" w:hAnsi="Times New Roman" w:eastAsia="宋体"/>
          <w:b/>
          <w:color w:val="0070C0"/>
          <w:sz w:val="24"/>
          <w:szCs w:val="24"/>
        </w:rPr>
        <w:t xml:space="preserve">     </w:t>
      </w:r>
      <w:r>
        <w:rPr>
          <w:rFonts w:ascii="Times New Roman" w:hAnsi="Times New Roman" w:eastAsia="宋体"/>
          <w:b/>
          <w:color w:val="0070C0"/>
          <w:sz w:val="24"/>
          <w:szCs w:val="24"/>
        </w:rPr>
        <w:tab/>
      </w:r>
    </w:p>
    <w:p>
      <w:pPr>
        <w:jc w:val="left"/>
        <w:rPr>
          <w:rFonts w:ascii="仿宋" w:hAnsi="仿宋" w:eastAsia="仿宋"/>
          <w:b/>
          <w:sz w:val="24"/>
          <w:szCs w:val="24"/>
        </w:rPr>
      </w:pPr>
    </w:p>
    <w:p>
      <w:pPr>
        <w:jc w:val="left"/>
        <w:rPr>
          <w:rFonts w:ascii="仿宋" w:hAnsi="仿宋" w:eastAsia="仿宋"/>
          <w:b/>
          <w:sz w:val="24"/>
          <w:szCs w:val="24"/>
        </w:rPr>
      </w:pP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001</w:t>
      </w:r>
      <w:r>
        <w:rPr>
          <w:rFonts w:ascii="Cambria" w:hAnsi="Cambria" w:eastAsia="Cambria" w:cs="Cambria"/>
          <w:b/>
          <w:color w:val="auto"/>
          <w:sz w:val="24"/>
          <w:u w:val="none"/>
        </w:rPr>
        <w:t>化学工程学院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070300</w:t>
      </w:r>
      <w:r>
        <w:rPr>
          <w:rFonts w:ascii="Times New Roman" w:hAnsi="Times New Roman" w:eastAsia="Times New Roman" w:cs="Times New Roman"/>
          <w:b/>
          <w:color w:val="FF0000"/>
          <w:sz w:val="24"/>
          <w:u w:val="none"/>
        </w:rPr>
        <w:t>化学</w:t>
      </w:r>
    </w:p>
    <w:p>
      <w:pPr>
        <w:jc w:val="left"/>
        <w:rPr>
          <w:rFonts w:ascii="仿宋" w:hAnsi="仿宋" w:eastAsia="仿宋"/>
          <w:b/>
          <w:sz w:val="24"/>
          <w:szCs w:val="24"/>
        </w:rPr>
      </w:pPr>
      <w:r>
        <w:rPr>
          <w:rFonts w:hint="eastAsia" w:ascii="仿宋" w:hAnsi="仿宋" w:eastAsia="仿宋"/>
          <w:b/>
          <w:sz w:val="24"/>
          <w:szCs w:val="24"/>
          <w:lang w:val="en-US" w:eastAsia="zh-CN"/>
        </w:rPr>
        <w:t xml:space="preserve">    化学学位点依托化学一级学科，该学科是浙江省“十二五”高校重点学科及“浙江省重点高校建设计划”第三批重点建设学科。浙江工业大学化学ESI排名2010进入全球前1%，是浙江工业大学首个进入全球ESI排名前1%的专业。学位点2006年成功申报了有机化学、分析化学和物理化学3个二级硕士学位授权点，2017年成功申报化学一级硕士学位授权点。学位点拥有教授（研究员）19人、硕导35人。其中教育部长江学者1人，省级各类人才7人（次）。学科形成了有机功能分子设计与应用、无机纳米化学与技术、催化及表面化学和分析化学四个二级学科。曾获国家及省级科技奖4项，出版学术专著10余部，获美国、欧洲、中国发明专利50余项，年发表SCI、EI收录论文50余篇、近5年科研到款3000多万。</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001</w:t>
      </w:r>
      <w:r>
        <w:rPr>
          <w:rFonts w:ascii="Cambria" w:hAnsi="Cambria" w:eastAsia="Cambria" w:cs="Cambria"/>
          <w:b/>
          <w:color w:val="auto"/>
          <w:sz w:val="24"/>
          <w:u w:val="none"/>
        </w:rPr>
        <w:t>化学工程学院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081700</w:t>
      </w:r>
      <w:r>
        <w:rPr>
          <w:rFonts w:ascii="Times New Roman" w:hAnsi="Times New Roman" w:eastAsia="Times New Roman" w:cs="Times New Roman"/>
          <w:b/>
          <w:color w:val="FF0000"/>
          <w:sz w:val="24"/>
          <w:u w:val="none"/>
        </w:rPr>
        <w:t>化学工程与技术</w:t>
      </w:r>
    </w:p>
    <w:p>
      <w:pPr>
        <w:jc w:val="left"/>
        <w:rPr>
          <w:rFonts w:ascii="仿宋" w:hAnsi="仿宋" w:eastAsia="仿宋"/>
          <w:b/>
          <w:sz w:val="24"/>
          <w:szCs w:val="24"/>
        </w:rPr>
      </w:pPr>
      <w:r>
        <w:rPr>
          <w:rFonts w:hint="eastAsia" w:ascii="仿宋" w:hAnsi="仿宋" w:eastAsia="仿宋"/>
          <w:b/>
          <w:sz w:val="24"/>
          <w:szCs w:val="24"/>
          <w:lang w:val="en-US" w:eastAsia="zh-CN"/>
        </w:rPr>
        <w:t xml:space="preserve">    化学工程与技术学位点依托化学工程与技术浙江省重中之重一级学科和浙江省一流学科（A类），全国第四轮学科评估排名并列第八（A-），拥有博士后流动站和一级学科博士学位授权、国家重点（培育）学科（工业催化），依托科技部“绿色化学合成技术国家重点实验室培育基地”、“能源材料及应用国际科技合作基地”、“国家级化学化工实验教学示范中心”等国家级、省部级教学科研平台，在国内外化工教育界、学术界和产业界享有盛誉。</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科拥有教授（研究员）63人、博导59人、硕导120人。其中，中国工程院院士1人、省特级专家3人、国家级有突出贡献的科技专家2人、教育部长江学者1人、入选国家“新世纪百千万人才工程”3人、杰青1人、青千3人、优青1人、“教育部新世纪优秀人才支持计划”4人、“教育部高等学校骨干教师资助计划”1人、省级各类人才52人（次），享受政府特殊津贴7人，获“侯德榜化工成就奖”、“侯德榜化工创新奖”各1人等。</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科形成了化学工程、化学工艺、应用化学、工业催化、绿色化学与技术、海洋化学与化工等长期稳定的研究方向。先后获国家级科技三大奖16项，中国专利金奖2项，省部级一、二等科技奖励26项，出版学术专著30余部，年发表SCI、EI收录论文300余篇，年承担各类科研项目的总经费4000余万元，获美国、欧洲、中国发明专利200余项。</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001</w:t>
      </w:r>
      <w:r>
        <w:rPr>
          <w:rFonts w:ascii="Cambria" w:hAnsi="Cambria" w:eastAsia="Cambria" w:cs="Cambria"/>
          <w:b/>
          <w:color w:val="auto"/>
          <w:sz w:val="24"/>
          <w:u w:val="none"/>
        </w:rPr>
        <w:t>化学工程学院</w:t>
      </w:r>
    </w:p>
    <w:p>
      <w:pPr>
        <w:jc w:val="left"/>
        <w:rPr>
          <w:rFonts w:hint="default" w:ascii="仿宋" w:hAnsi="仿宋" w:eastAsia="宋体"/>
          <w:b/>
          <w:color w:val="FF0000"/>
          <w:sz w:val="24"/>
          <w:szCs w:val="24"/>
          <w:lang w:val="en-US" w:eastAsia="zh-CN"/>
        </w:rPr>
      </w:pPr>
      <w:r>
        <w:rPr>
          <w:rFonts w:hint="eastAsia" w:ascii="Times New Roman" w:hAnsi="Times New Roman" w:eastAsia="仿宋"/>
          <w:b/>
          <w:color w:val="FF0000"/>
          <w:sz w:val="24"/>
          <w:szCs w:val="24"/>
          <w:lang w:val="en-US" w:eastAsia="zh-CN"/>
        </w:rPr>
        <w:t>085600</w:t>
      </w:r>
      <w:r>
        <w:rPr>
          <w:rFonts w:ascii="Times New Roman" w:hAnsi="Times New Roman" w:eastAsia="Times New Roman" w:cs="Times New Roman"/>
          <w:b/>
          <w:color w:val="FF0000"/>
          <w:sz w:val="24"/>
          <w:u w:val="none"/>
        </w:rPr>
        <w:t>材料与化工</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化学工程学院材料与化工专业硕士学位点依托“化学工程与技术”一级学科，浙江工业大学化学工程与技术学科是浙江省重中之重一级学科，拥有博士后流动站和一级学科博士点、国家重点（培育）学科（工业催化）。在国内外化工教育界、学术界和产业界享有盛誉。 </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现拥有教授（研究员）63人,硕导127人。其中,中国工程院院士1人、省特级专家3人、国家级有突出贡献的科技专家2人、教育部长江学者1人、杰青1人、青千3人、优青1人、入选国家“新世纪百千万人才工程”3人、“教育部新世纪优秀人才支持计划”4人、“教育部高等学校骨干教师资助计划”1人、省级各类人才52人（次），享受政府特殊津贴7人，获“侯德榜化工科学技术奖成就奖”、“侯德榜化工科学技术奖创新奖”各1人等。</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科形成了化学工程、化学工艺、应用化学、工业催化、绿色化学与技术、海洋化学与化工等长期稳定的研究方向。曾获国家级科技三大奖16项，中国专利金奖2项，省部级科技奖励26项，出版学术专著30余部，年发表SCI、EI收录论文300余篇、年承担各类科研项目总经费4000余万元，获美国、欧洲、中国发明专利200余项。</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001</w:t>
      </w:r>
      <w:r>
        <w:rPr>
          <w:rFonts w:ascii="Cambria" w:hAnsi="Cambria" w:eastAsia="Cambria" w:cs="Cambria"/>
          <w:b/>
          <w:color w:val="auto"/>
          <w:sz w:val="24"/>
          <w:u w:val="none"/>
        </w:rPr>
        <w:t>化学工程学院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090403</w:t>
      </w:r>
      <w:r>
        <w:rPr>
          <w:rFonts w:ascii="Times New Roman" w:hAnsi="Times New Roman" w:eastAsia="Times New Roman" w:cs="Times New Roman"/>
          <w:b/>
          <w:color w:val="FF0000"/>
          <w:sz w:val="24"/>
          <w:u w:val="none"/>
        </w:rPr>
        <w:t>农药学</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农药学硕士点1997年经教育部批准建立并开始招生。2011年被浙江省教育厅批准为浙江省重点学科。2015年进入浙江省"绿色农药2011协同创新中心"。学位点长期从事新农药创制、农药及其中间体工艺工程开发、农药分析及环境安全等研究。曾承担国家基金、国家科技支撑计划项目、省基金、科技厅项目等国家、省部级项目以及横向项目百余项，社会效益和经济效益显著。本学位点已取得农药科研成果百余项，获奖16项，其中获得国家发明四等奖1项，国家教育部提名国家科技进步奖二等奖、省科技进步奖、化工部科技进步奖等省部级奖项9项，厅局级奖项7项；近年来发表学术论文数百篇，其中SCI收录200余篇, 影响因子2.0以上高水平论文70余篇；授权国家发明专利100余件。学位点现有专职导师10名，其中正高职称6名，副高职称4名，另有校外兼职导师9名，具有丰富的教学、科研及研究生培养经验。</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002</w:t>
      </w:r>
      <w:r>
        <w:rPr>
          <w:rFonts w:ascii="Cambria" w:hAnsi="Cambria" w:eastAsia="Cambria" w:cs="Cambria"/>
          <w:b/>
          <w:color w:val="auto"/>
          <w:sz w:val="24"/>
          <w:u w:val="none"/>
        </w:rPr>
        <w:t>机械工程学院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080200</w:t>
      </w:r>
      <w:r>
        <w:rPr>
          <w:rFonts w:ascii="Times New Roman" w:hAnsi="Times New Roman" w:eastAsia="Times New Roman" w:cs="Times New Roman"/>
          <w:b/>
          <w:color w:val="FF0000"/>
          <w:sz w:val="24"/>
          <w:u w:val="none"/>
        </w:rPr>
        <w:t>机械工程</w:t>
      </w:r>
    </w:p>
    <w:p>
      <w:pPr>
        <w:jc w:val="left"/>
        <w:rPr>
          <w:rFonts w:ascii="仿宋" w:hAnsi="仿宋" w:eastAsia="仿宋"/>
          <w:b/>
          <w:sz w:val="24"/>
          <w:szCs w:val="24"/>
        </w:rPr>
      </w:pPr>
      <w:r>
        <w:rPr>
          <w:rFonts w:hint="eastAsia" w:ascii="仿宋" w:hAnsi="仿宋" w:eastAsia="仿宋"/>
          <w:b/>
          <w:sz w:val="24"/>
          <w:szCs w:val="24"/>
          <w:lang w:val="en-US" w:eastAsia="zh-CN"/>
        </w:rPr>
        <w:t xml:space="preserve">    我校“机械工程”学科设有一级学科博士点，是浙江省重中之重一级学科，建有“特种装备制造与先进加工技术”教育部和浙江省重点实验室、“特种装备制造与先进加工技术国家级国际联合研究中心”、浙江省"高端激光制造装备协同创新中心”、“机械工程”博士后科研流动站。与剑桥大学、乌克兰国立科技大学、美国韦恩州立大学等国外高校合作设立了联合研究实验室。该一级学科下设机械制造及其自动化、机械电子工程、机械设计及理论、车辆工程、工业工程和船舶与海洋装备工程6个二级学科。学科现有教师180余名，其中教授59名、副教授56名，其中包括国家杰出青年基金获得者3人，3人入选“新世纪百千万人才工程”国家级人才，1人入选浙江省特级专家，5人入选浙江省“钱江学者”，6人入选浙江省“千人计划”，31人入选浙江省151人才工程，16人入选浙江省高校中青年学术带头人。</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近5年来主持国家“973”与“863”项目、国家科技攻关项目、国家科技支撑项目、国家自然科学基金及省部级重大科研项目90余项、省部级项目150余项，研究经费超过2亿元；获授权发明专利300余项；发表学术论文1000余篇，其中被SCI、EI收录400余篇次。先后获国家科技三大奖3项，教育部和浙江省等省部级科技进步一等奖6项，获得其他省部级科技奖励20余项，其成果达到国际先进和国内领先水平。 </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002</w:t>
      </w:r>
      <w:r>
        <w:rPr>
          <w:rFonts w:ascii="Cambria" w:hAnsi="Cambria" w:eastAsia="Cambria" w:cs="Cambria"/>
          <w:b/>
          <w:color w:val="auto"/>
          <w:sz w:val="24"/>
          <w:u w:val="none"/>
        </w:rPr>
        <w:t>机械工程学院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080700</w:t>
      </w:r>
      <w:r>
        <w:rPr>
          <w:rFonts w:ascii="Times New Roman" w:hAnsi="Times New Roman" w:eastAsia="Times New Roman" w:cs="Times New Roman"/>
          <w:b/>
          <w:color w:val="FF0000"/>
          <w:sz w:val="24"/>
          <w:u w:val="none"/>
        </w:rPr>
        <w:t>动力工程及工程热物理</w:t>
      </w:r>
    </w:p>
    <w:p>
      <w:pPr>
        <w:jc w:val="left"/>
        <w:rPr>
          <w:rFonts w:ascii="仿宋" w:hAnsi="仿宋" w:eastAsia="仿宋"/>
          <w:b/>
          <w:sz w:val="24"/>
          <w:szCs w:val="24"/>
        </w:rPr>
      </w:pPr>
      <w:r>
        <w:rPr>
          <w:rFonts w:hint="eastAsia" w:ascii="仿宋" w:hAnsi="仿宋" w:eastAsia="仿宋"/>
          <w:b/>
          <w:sz w:val="24"/>
          <w:szCs w:val="24"/>
          <w:lang w:val="en-US" w:eastAsia="zh-CN"/>
        </w:rPr>
        <w:t xml:space="preserve">    动力工程及工程热物理一级学科为浙江省“十三五”一流学科建设工程A 类支持学科。学科已建有国家化学原料药合成工程技术研究中心、特种装备制造与先进加工技术国家级国际联合研究中心等3 个国家级科研平台，过程装备及其再制造教育部工程研究中心、特种装备制造与先进加工教育部重点实验室等8 个省部级科研平台，国家级机械类虚拟仿真教学实验示范中心等国家和省级教学实验平台5 个。学科下设化工过程机械、流体机械及工程、热能工程3个二级学科。学科现有教师56人，其中教授19名，博导12名，博士54名。国家千人计划专家1名，国务院政府特殊津贴家3名，浙江省有突出贡献中青年专家2名，省功勋教师1名，特聘短期海外教授3名。学位点与国内20多家机构共建了研究生培养基地，企业兼职导师30余名。1979年开始招收硕士研究生，2000年获化工过程机械博士授予权。</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科主要研究过程装备结构完整性、工业泵阀与流体密封、高效过程装备、过程装备智能监控与物联网、清洁能源工程等。近五年学科承担国家重点研究计划课题、国家自然科学基金等国家级项目53项，省部级项目43项，企业委托项目442 项，研究经费1 亿余元；获国家科技进步一等奖和二等奖各1项，省部科技进步一等奖2项；发表SCI 收录论文145篇、EI 收录论文116篇，授权发明专利86项，编制国家标准2项、行业标准2项。</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002</w:t>
      </w:r>
      <w:r>
        <w:rPr>
          <w:rFonts w:ascii="Cambria" w:hAnsi="Cambria" w:eastAsia="Cambria" w:cs="Cambria"/>
          <w:b/>
          <w:color w:val="auto"/>
          <w:sz w:val="24"/>
          <w:u w:val="none"/>
        </w:rPr>
        <w:t>机械工程学院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085500</w:t>
      </w:r>
      <w:r>
        <w:rPr>
          <w:rFonts w:ascii="Times New Roman" w:hAnsi="Times New Roman" w:eastAsia="Times New Roman" w:cs="Times New Roman"/>
          <w:b/>
          <w:color w:val="FF0000"/>
          <w:sz w:val="24"/>
          <w:u w:val="none"/>
        </w:rPr>
        <w:t>机械</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我校“机械工程”学科设有一级学科博士点，是浙江省重中之重一级学科，建有“特种装备制造与先进加工技术”教育部和浙江省重点实验室、“特种装备制造与先进加工技术国家级国际联合研究中心”、浙江省"高端激光制造装备协同创新中心”、“机械工程”博士后科研流动站。与剑桥大学、乌克兰国立科技大学、美国韦恩州立大学等国外高校合作设立了联合研究实验室。该一级学科下设机械制造及其自动化、机械电子工程、机械设计及理论、车辆工程、工业工程和船舶与海洋装备工程6个二级学科。学科现有教师180余名，其中教授59名、副教授56名，其中包括国家杰出青年基金获得者3人，3人入选“新世纪百千万人才工程”国家级人才，1人入选浙江省特级专家，5人入选浙江省“钱江学者”，6人入选浙江省“千人计划”，31人入选浙江省151人才工程，16人入选浙江省高校中青年学术带头人。    近5年来主持国家“973”与“863”项目、国家科技攻关项目、国家科技支撑项目、国家自然科学基金及省部级重大科研项目90余项、省部级项目150余项，研究经费超过2亿元；获授权发明专利300余项；发表学术论文1000余篇，其中被SCI、EI收录400余篇次。先后获国家科技三大奖3项，教育部和浙江省等省部级科技进步一等奖6项，获得其他省部级科技奖励20余项，其成果达到国际先进和国内领先水平。 </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我校“机械工程领域”是教育部研究生专业学位教育综合改革试点单位和全国工程硕士研究生教育特色工程领域、机械工程专业是国家卓越工程师计划研究生专业。拥有一批学术水平高、工程研发经验丰富的专业学位研究生指导教师，建有一批研究生企业联合培养基地。</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机械工程领域专业学位获得者应掌握机械工程领域的坚实的基础理论和宽广的专业知识；掌握解决机械工程领域工程问题的先进技术方法和现代技术手段；具有创新意识和独立担负机械工程领域工程技术研发或工程管理工作的能力。</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002</w:t>
      </w:r>
      <w:r>
        <w:rPr>
          <w:rFonts w:ascii="Cambria" w:hAnsi="Cambria" w:eastAsia="Cambria" w:cs="Cambria"/>
          <w:b/>
          <w:color w:val="auto"/>
          <w:sz w:val="24"/>
          <w:u w:val="none"/>
        </w:rPr>
        <w:t>机械工程学院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085800</w:t>
      </w:r>
      <w:r>
        <w:rPr>
          <w:rFonts w:ascii="Times New Roman" w:hAnsi="Times New Roman" w:eastAsia="Times New Roman" w:cs="Times New Roman"/>
          <w:b/>
          <w:color w:val="FF0000"/>
          <w:sz w:val="24"/>
          <w:u w:val="none"/>
        </w:rPr>
        <w:t>能源动力</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动力工程及工程热物理一级学科为浙江省“十三五”一流学科建设工程A 类支持学科。学科已建有国家化学原料药合成工程技术研究中心、特种装备制造与先进加工技术国家级国际联合研究中心等3 个国家级科研平台，过程装备及其再制造教育部工程研究中心、特种装备制造与先进加工教育部重点实验室等8 个省部级科研平台，国家级机械类虚拟仿真教学实验示范中心等国家和省级教学实验平台5 个。学科下设化工过程机械、流体机械及工程、热能工程3个二级学科。学科现有教师56人，其中教授19名，博导12名，博士54名。国家千人计划专家1名，国务院政府特殊津贴家3名，浙江省有突出贡献中青年专家2名，省功勋教师1名，特聘短期海外教授3名。学位点与国内20多家机构共建了研究生培养基地，企业兼职导师30余名。1979年开始招收硕士研究生，2000年获化工过程机械博士授予权。</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科主要研究过程装备结构完整性、工业泵阀与流体密封、高效过程装备、过程装备智能监控与物联网、清洁能源工程等。近五年学科承担国家重点研究计划课题、国家自然科学基金等国家级项目53项，省部级项目43项，企业委托项目442 项，研究经费1 亿余元；获国家科技进步一等奖和二等奖各1项，省部科技进步一等奖2项；发表SCI 收录论文145篇、EI 收录论文116篇，授权发明专利86项，编制国家标准2项、行业标准2项。</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002</w:t>
      </w:r>
      <w:r>
        <w:rPr>
          <w:rFonts w:ascii="Cambria" w:hAnsi="Cambria" w:eastAsia="Cambria" w:cs="Cambria"/>
          <w:b/>
          <w:color w:val="auto"/>
          <w:sz w:val="24"/>
          <w:u w:val="none"/>
        </w:rPr>
        <w:t>机械工程学院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125603</w:t>
      </w:r>
      <w:r>
        <w:rPr>
          <w:rFonts w:ascii="Times New Roman" w:hAnsi="Times New Roman" w:eastAsia="Times New Roman" w:cs="Times New Roman"/>
          <w:b/>
          <w:color w:val="FF0000"/>
          <w:sz w:val="24"/>
          <w:u w:val="none"/>
        </w:rPr>
        <w:t>工业工程与管理</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本专业领域培养具备系统的现代工业工程知识，具有扎实的解决综合性生产系统优化能力，能从事生产系统的规划、设计、运营和优化工作的高级技术管理复合型人才。</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浙江工业大学工业工程专业是浙江省重点专业。专业所在学科属于机械工程学院，设有工业工程与物流系、工业工程研究所、物流工程研究所，主要从事精益生产、物流与供应链、生产与物流系统仿真、制造业信息化、智能物流装备等领域的教学和科研工作。具有工业工程博士、工业工程学术型硕士和工业工程专业型硕士学位授予权。现有教学科研人员20余人，其中教授6人、副教授8人、博士13人。近5年来学科承担省部级以上项目30余项，其中国家级项目8项，承担物流系统规划与设计、生产系统精益改善、生产管理软件开发、工业工程在企业导入等企业委托项目百余项，学科在国内具有明显的研究特色与优势。</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本学位点即原工业工程工程硕士领域（代码085236），根据国务院学位委员会和工程管理教学指导委员会安排，调整为工程管理类工业工程与管理领域（代码125603），可以面向应届学生招生。</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003</w:t>
      </w:r>
      <w:r>
        <w:rPr>
          <w:rFonts w:ascii="Cambria" w:hAnsi="Cambria" w:eastAsia="Cambria" w:cs="Cambria"/>
          <w:b/>
          <w:color w:val="auto"/>
          <w:sz w:val="24"/>
          <w:u w:val="none"/>
        </w:rPr>
        <w:t>信息工程学院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081000</w:t>
      </w:r>
      <w:r>
        <w:rPr>
          <w:rFonts w:ascii="Times New Roman" w:hAnsi="Times New Roman" w:eastAsia="Times New Roman" w:cs="Times New Roman"/>
          <w:b/>
          <w:color w:val="FF0000"/>
          <w:sz w:val="24"/>
          <w:u w:val="none"/>
        </w:rPr>
        <w:t>信息与通信工程</w:t>
      </w:r>
    </w:p>
    <w:p>
      <w:pPr>
        <w:jc w:val="left"/>
        <w:rPr>
          <w:rFonts w:ascii="仿宋" w:hAnsi="仿宋" w:eastAsia="仿宋"/>
          <w:b/>
          <w:sz w:val="24"/>
          <w:szCs w:val="24"/>
        </w:rPr>
      </w:pPr>
      <w:r>
        <w:rPr>
          <w:rFonts w:hint="eastAsia" w:ascii="仿宋" w:hAnsi="仿宋" w:eastAsia="仿宋"/>
          <w:b/>
          <w:sz w:val="24"/>
          <w:szCs w:val="24"/>
          <w:lang w:val="en-US" w:eastAsia="zh-CN"/>
        </w:rPr>
        <w:t xml:space="preserve">    本学位点是一级学科硕士学位授权点，依托信息与通信工程学科，该学科被列为浙江工业大学“浙江省重点高校建设计划”重点建设学科。信息与通信工程与电子科学与技术、光信息科学与技术、应用数学、应用物理等构成信息社会的基石。研究信息的获取、传输、交换与处理，研究信号编码、检测、估计与识别等的理论、方法和实现技术。本学位点建有浙江省通信网技术重点实验室和浙江省电工电子实验教学示范中心，有专任教师36人，教授13人，省级人才4人，具有博士学位的教师28人。本学位点在光纤通信、移动通信、数字信号处理等方面有深入的研究。近年来承担了国家级、省部级和企业委托等科研项目。设立了“银江创新基金”和“建龙基金”等多种奖学金，支持研究生开展科技创新、创业就业、留学交流等活动，助学体系涵盖全体研究生，本学位点研究生可以通过国家高水平大学计划赴国外进行联合培养。多数毕业生进入电信、互联网等信息行业工作，近5年就业率保持在100%。</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003</w:t>
      </w:r>
      <w:r>
        <w:rPr>
          <w:rFonts w:ascii="Cambria" w:hAnsi="Cambria" w:eastAsia="Cambria" w:cs="Cambria"/>
          <w:b/>
          <w:color w:val="auto"/>
          <w:sz w:val="24"/>
          <w:u w:val="none"/>
        </w:rPr>
        <w:t>信息工程学院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081100</w:t>
      </w:r>
      <w:r>
        <w:rPr>
          <w:rFonts w:ascii="Times New Roman" w:hAnsi="Times New Roman" w:eastAsia="Times New Roman" w:cs="Times New Roman"/>
          <w:b/>
          <w:color w:val="FF0000"/>
          <w:sz w:val="24"/>
          <w:u w:val="none"/>
        </w:rPr>
        <w:t>控制科学与工程</w:t>
      </w:r>
    </w:p>
    <w:p>
      <w:pPr>
        <w:jc w:val="left"/>
        <w:rPr>
          <w:rFonts w:ascii="仿宋" w:hAnsi="仿宋" w:eastAsia="仿宋"/>
          <w:b/>
          <w:sz w:val="24"/>
          <w:szCs w:val="24"/>
        </w:rPr>
      </w:pPr>
      <w:r>
        <w:rPr>
          <w:rFonts w:hint="eastAsia" w:ascii="仿宋" w:hAnsi="仿宋" w:eastAsia="仿宋"/>
          <w:b/>
          <w:sz w:val="24"/>
          <w:szCs w:val="24"/>
          <w:lang w:val="en-US" w:eastAsia="zh-CN"/>
        </w:rPr>
        <w:t xml:space="preserve">    本学位点属于控制科学与工程学科，具有一级学科硕士点、一级学科博士点和博士后流动站，是浙江省重中之重学科，省重点A类建设学科。拥有浙江省嵌入式系统重点实验室等多个教学、科研和人才培养基地。现有教授20余名，副教授50余名，国家级高层次人才5人，省部级人才10多人，师资力量雄厚。近年来，承担了国家级重大科技项目、国家重点基金等国家与省级项目近100项，科研成果达到国际先进水平。本学位点在银江科技集团等多家信息技术上市公司建立了研究生培养基地。设立了 “银江创新基金”和“建龙基金”等多种奖学金，支持研究生开展科技创新等活动，培养的硕博连读生获得了全国百篇优秀博士学位论文，在全国研究生电子设计竞赛等赛事中多次获奖。本学位点研究生可以通过国家高水平大学培养计划赴国外进行联合培养，利用学科平台可优先推荐优秀研究生赴国内外高校进行合作培养，目前，已有一些研究生获得了国际化培养项目资助，并取得了丰硕的科研成果。</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003</w:t>
      </w:r>
      <w:r>
        <w:rPr>
          <w:rFonts w:ascii="Cambria" w:hAnsi="Cambria" w:eastAsia="Cambria" w:cs="Cambria"/>
          <w:b/>
          <w:color w:val="auto"/>
          <w:sz w:val="24"/>
          <w:u w:val="none"/>
        </w:rPr>
        <w:t>信息工程学院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085400</w:t>
      </w:r>
      <w:r>
        <w:rPr>
          <w:rFonts w:ascii="Times New Roman" w:hAnsi="Times New Roman" w:eastAsia="Times New Roman" w:cs="Times New Roman"/>
          <w:b/>
          <w:color w:val="FF0000"/>
          <w:sz w:val="24"/>
          <w:u w:val="none"/>
        </w:rPr>
        <w:t>电子信息</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信息工程学院负责电子信息类中的两个研究方向招生，即“控制工程”（原085210控制工程专业领域）和“电子与通信工程”（原085208 电子与通信工程专业领域）。</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控制工程2013年进入教育部研究生层次学科领域卓越工程师教育培养计划，主要培养从事控制系统和装置研究、设计、开发、管理和运行维护的高级工程技术人才。它包含网络化运动控制、工业互联网及安全、机器人与智能系统、人工智能技术与应用、图像与视频处理技术、智能感知与检测技术、电气工程与智能控制等七个研究子方向。人才培养依托浙江省重中之重学科、浙江A类一流学科、浙江省嵌入式系统联合重点实验室，并与多家上市公司建立了专业学位硕士研究生联合培养基地。现有教授20余名、副教授50余名，国家级高层次人才5人，省部级人才十多人；近年来，承担了国家级重大科技项目、国家重点基金等国家与省部级科技项目近100项，获国家科技进步二等奖1项，省部级科技成果奖10余项。</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电子与通信工程是2000年开始招生，重点对接杭州信息产业和高端装备制造业，在通信网技术与应用、物联网技术与应用、多媒体数字通信、信息处理与控制、信号处理与智能仪器、嵌入式系统与应用等六个子方向开展研究和学生培养。它依托浙江省信息与通信工程一级学科、浙江省通信网技术应用研究重点实验室，建有通信与信息系统、光纤通信与信息工程、智能系统与机器人三个研究所。近年来承担包括国家自然科学基金、浙江省科技厅重点项目、浙江省自然科学基金及企业合作项目等共计一百多项，多项科研成果获得省部级奖励。</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学院设立“银江创新基金”和“建龙基金”， 支持研究生开展科技创新、创业就业和学术交流等活动，形成了区域和行业特色鲜明的培养方式。</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004</w:t>
      </w:r>
      <w:r>
        <w:rPr>
          <w:rFonts w:ascii="Cambria" w:hAnsi="Cambria" w:eastAsia="Cambria" w:cs="Cambria"/>
          <w:b/>
          <w:color w:val="auto"/>
          <w:sz w:val="24"/>
          <w:u w:val="none"/>
        </w:rPr>
        <w:t>管理学院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120100</w:t>
      </w:r>
      <w:r>
        <w:rPr>
          <w:rFonts w:ascii="Times New Roman" w:hAnsi="Times New Roman" w:eastAsia="Times New Roman" w:cs="Times New Roman"/>
          <w:b/>
          <w:color w:val="FF0000"/>
          <w:sz w:val="24"/>
          <w:u w:val="none"/>
        </w:rPr>
        <w:t>管理科学与工程</w:t>
      </w:r>
    </w:p>
    <w:p>
      <w:pPr>
        <w:jc w:val="left"/>
        <w:rPr>
          <w:rFonts w:ascii="仿宋" w:hAnsi="仿宋" w:eastAsia="仿宋"/>
          <w:b/>
          <w:sz w:val="24"/>
          <w:szCs w:val="24"/>
        </w:rPr>
      </w:pPr>
      <w:r>
        <w:rPr>
          <w:rFonts w:hint="eastAsia" w:ascii="仿宋" w:hAnsi="仿宋" w:eastAsia="仿宋"/>
          <w:b/>
          <w:sz w:val="24"/>
          <w:szCs w:val="24"/>
          <w:lang w:val="en-US" w:eastAsia="zh-CN"/>
        </w:rPr>
        <w:t xml:space="preserve">    管理科学与工程是浙江省重点学科，是我校培养既懂技术又懂管理高级管理人才的重点学科和硕士学位点之一。设有现代物流与供应链管理、金融工程与风险管理、以及信息智能与决策优化3个研究所，拥有教授6名，副教授7名。十余年来，培养了大批优秀人才，完成和正在进行的国家、省、市和企业委托的科研项目100余项，在国际学术刊物、国际学术会议以及国家一级期刊上发表论文200余篇，其中被SSCI/SCI收录80余篇，EI收录60余篇。</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科在现代物流与供应链管理、数据挖掘与人工智能管理、金融工程与风险管理、信息智能与决策优化、商务智能与资源规划、生产组织与决策优化、智能决策信息系统的开发与研究、企业计算机辅助管理集成系统的开发和研究、以及信息技术支持下物流与供应链管理集成优化研究等方面已形成了自己的特色，在国内外具有一定的知名度，研究成果具有相当高的学术水平和应用价值，部分研究成果得到国际同行的认可。</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004</w:t>
      </w:r>
      <w:r>
        <w:rPr>
          <w:rFonts w:ascii="Cambria" w:hAnsi="Cambria" w:eastAsia="Cambria" w:cs="Cambria"/>
          <w:b/>
          <w:color w:val="auto"/>
          <w:sz w:val="24"/>
          <w:u w:val="none"/>
        </w:rPr>
        <w:t>管理学院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120200</w:t>
      </w:r>
      <w:r>
        <w:rPr>
          <w:rFonts w:ascii="Times New Roman" w:hAnsi="Times New Roman" w:eastAsia="Times New Roman" w:cs="Times New Roman"/>
          <w:b/>
          <w:color w:val="FF0000"/>
          <w:sz w:val="24"/>
          <w:u w:val="none"/>
        </w:rPr>
        <w:t>工商管理</w:t>
      </w:r>
    </w:p>
    <w:p>
      <w:pPr>
        <w:jc w:val="left"/>
        <w:rPr>
          <w:rFonts w:ascii="仿宋" w:hAnsi="仿宋" w:eastAsia="仿宋"/>
          <w:b/>
          <w:sz w:val="24"/>
          <w:szCs w:val="24"/>
        </w:rPr>
      </w:pPr>
      <w:r>
        <w:rPr>
          <w:rFonts w:hint="eastAsia" w:ascii="仿宋" w:hAnsi="仿宋" w:eastAsia="仿宋"/>
          <w:b/>
          <w:sz w:val="24"/>
          <w:szCs w:val="24"/>
          <w:lang w:val="en-US" w:eastAsia="zh-CN"/>
        </w:rPr>
        <w:t xml:space="preserve">    工商管理学位点依托工商管理浙江省A类一流学科、工商管理一级博士点、工商管理博士后流动站等平台，在中小企业创新创业、住房消费与房地产投资、企业战略与国际化、公司财务与会计监控、消费者认知与神经决策等方向形成了鲜明特色和优势，已成为浙江省工商管理领域人才培养和科学研究的重要基地。2016年第四轮学科评估中，学科整体水平进入B+档，排名位于全国前10%～20%。</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近五年来，学位点教师承担国家社科重大项目3项，教育部哲社重大攻关项目3项，国家社科重点项目2项，其他国家级项目51项，实到经费超3500万元。在Journal of Business Research、Industrial Marketing Management、Urban Studies、《管理世界》、《社会学研究》、《会计研究》等国内外重要期刊上发表论文200多篇，获得省部级以上科研成果奖12项，省部级以上教学成果奖3项。学科现有教师77人，其中博导21人，硕导48人。正高26人，副高28人。享受国务院特殊津贴1人，国家万人计划青年拔尖人才1人，教育部新世纪优秀人才计划1人，入选省部级各类人才资助计划23人次。</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004</w:t>
      </w:r>
      <w:r>
        <w:rPr>
          <w:rFonts w:ascii="Cambria" w:hAnsi="Cambria" w:eastAsia="Cambria" w:cs="Cambria"/>
          <w:b/>
          <w:color w:val="auto"/>
          <w:sz w:val="24"/>
          <w:u w:val="none"/>
        </w:rPr>
        <w:t>管理学院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125300</w:t>
      </w:r>
      <w:r>
        <w:rPr>
          <w:rFonts w:ascii="Times New Roman" w:hAnsi="Times New Roman" w:eastAsia="Times New Roman" w:cs="Times New Roman"/>
          <w:b/>
          <w:color w:val="FF0000"/>
          <w:sz w:val="24"/>
          <w:u w:val="none"/>
        </w:rPr>
        <w:t>会计（专业学位）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MPAcc项目坚持差异化发展战略，培养具备国际视野，立足中国制度背景、区域经济发展模式与资本市场，熟悉民营企业、创业型中小企业内外经营环境特点，具有良好职业道德、进取精神和创新意识，能够熟练运用现代会计、财务、审计等相关领域专业知识分析和解决实际问题的高素质、高层次的会计应用型专门人才。</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经过多年建设与发展，浙江工业大学已经形成了“本科（财务管理）——硕士（会计学、会计硕士）——博士（会计学）”完整的财会人才培养体系，并拥有工商管理（财务与会计研究方向）博士后流动站。</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浙江工业大学MPAcc项目拥有一支科研能力强、教学效果佳、实践经验丰富的专业教学团队和导师团队。校内MPAcc专任教师24人，其中博士研究生学历比例80%、高级职称比例87.5%；同时学校聘请企业财务总监、会计师事务所合伙人等具有丰富实践经验的专业人士担任校外MPAcc实践导师。另外，MPAcc项目为学员提供职业发展规划，通过开展各项活动为学员获取信息、整合资源、促进事业发展提供广阔的平台。</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004</w:t>
      </w:r>
      <w:r>
        <w:rPr>
          <w:rFonts w:ascii="Cambria" w:hAnsi="Cambria" w:eastAsia="Cambria" w:cs="Cambria"/>
          <w:b/>
          <w:color w:val="auto"/>
          <w:sz w:val="24"/>
          <w:u w:val="none"/>
        </w:rPr>
        <w:t>管理学院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125604</w:t>
      </w:r>
      <w:r>
        <w:rPr>
          <w:rFonts w:ascii="Times New Roman" w:hAnsi="Times New Roman" w:eastAsia="Times New Roman" w:cs="Times New Roman"/>
          <w:b/>
          <w:color w:val="FF0000"/>
          <w:sz w:val="24"/>
          <w:u w:val="none"/>
        </w:rPr>
        <w:t>物流工程与管理</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物流工程与管理是将工程技术与物流管理科学相结合的综合性工程技术领域。物流工程与管理将结构化、定量的分析方法和管理科学与经济学的理论相结合，研究物流系统的规划与设计、实施与控制、组织与管理等，培养应用型、复合型的物流技术和物流管理高级人才。该学位点依托浙江省重点学科----管理科学与工程，在物流工程与管理人才培养模式与教学体系上形成了特色，搭建了以学术为主导、实践为基础的创新人才培育体系。</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物流工程与管理硕士专业学位获得者应具有物流工程领域坚实的基础理论和系统的专业知识，掌握物流与供应链系统的规划设计与评价技术，具有较强的利用物流工程技术解决实际问题的能力，能够独立承担物流管理工作。熟练掌握计算机数据分析、仿真与信息管理系统的应用知识，较熟练地掌握一门外语。能够把握物流及相关行业的发展方向，整合国内外先进的物流技术和管理方法，开发适合未来发展趋势的新兴业务与服务，以适应具有中国特色的现代物流业的竞争环境和发展趋势。</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005</w:t>
      </w:r>
      <w:r>
        <w:rPr>
          <w:rFonts w:ascii="Cambria" w:hAnsi="Cambria" w:eastAsia="Cambria" w:cs="Cambria"/>
          <w:b/>
          <w:color w:val="auto"/>
          <w:sz w:val="24"/>
          <w:u w:val="none"/>
        </w:rPr>
        <w:t>生物工程学院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071005</w:t>
      </w:r>
      <w:r>
        <w:rPr>
          <w:rFonts w:ascii="Times New Roman" w:hAnsi="Times New Roman" w:eastAsia="Times New Roman" w:cs="Times New Roman"/>
          <w:b/>
          <w:color w:val="FF0000"/>
          <w:sz w:val="24"/>
          <w:u w:val="none"/>
        </w:rPr>
        <w:t>微生物学</w:t>
      </w:r>
    </w:p>
    <w:p>
      <w:pPr>
        <w:jc w:val="left"/>
        <w:rPr>
          <w:rFonts w:ascii="仿宋" w:hAnsi="仿宋" w:eastAsia="仿宋"/>
          <w:b/>
          <w:sz w:val="24"/>
          <w:szCs w:val="24"/>
        </w:rPr>
      </w:pPr>
      <w:r>
        <w:rPr>
          <w:rFonts w:hint="eastAsia" w:ascii="仿宋" w:hAnsi="仿宋" w:eastAsia="仿宋"/>
          <w:b/>
          <w:sz w:val="24"/>
          <w:szCs w:val="24"/>
          <w:lang w:val="en-US" w:eastAsia="zh-CN"/>
        </w:rPr>
        <w:t xml:space="preserve">    微生物学学位点依托生物工程学院生物工程一级学科。该学科入选浙江省“一流学科（A类）”建设计划和浙江省“重点高校建设计划”第一批重点建设学科，建有国家“2011计划”长三角绿色制药协同创新中心生物技术制药分中心等一批国家、省部级教学与科研平台。学位点以《微生物学》国家精品课程教学团队和浙江省首批重点创新团队——农业“生物三药”产业创新团队为核心，组建了一支结构合理、专业素质强的师资队伍。现有硕士生导师5人，均具有博士学位，其中国家“万人计划”科技创新领军人才1人。近年来，承担了多项国家自然科学基金和浙江省重大科技专项重点项目等重大课题项目，在Appl Environ Microbiol、Antimicrob Agents Chemother、Front Microbiol等国内外权威期刊发表学术论文100余篇，其中SCI收录的论文50余篇。</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微生物学硕士点从1993年开始与本校相近专业联合招生，2003年批准为硕士学位授权点，2004年开始独立招生，已培养硕士毕业生150 余人，其中有省级优秀毕业生、全国“挑战杯”二等奖获得者等。</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005</w:t>
      </w:r>
      <w:r>
        <w:rPr>
          <w:rFonts w:ascii="Cambria" w:hAnsi="Cambria" w:eastAsia="Cambria" w:cs="Cambria"/>
          <w:b/>
          <w:color w:val="auto"/>
          <w:sz w:val="24"/>
          <w:u w:val="none"/>
        </w:rPr>
        <w:t>生物工程学院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071010</w:t>
      </w:r>
      <w:r>
        <w:rPr>
          <w:rFonts w:ascii="Times New Roman" w:hAnsi="Times New Roman" w:eastAsia="Times New Roman" w:cs="Times New Roman"/>
          <w:b/>
          <w:color w:val="FF0000"/>
          <w:sz w:val="24"/>
          <w:u w:val="none"/>
        </w:rPr>
        <w:t>生物化学与分子生物学</w:t>
      </w:r>
    </w:p>
    <w:p>
      <w:pPr>
        <w:ind w:firstLine="481"/>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生物化学与分子生物学是现代生物学研究的一个重要内容，是生物技术专业和生物工程专业的重要基础。本学位点于2005年获得硕士学位授予权，现依托于浙江省生物工程“一流学科（A类）”。目前学位点导师队伍梯队结构合理，力量较强，共有专职导师10人，均具有博士学位，其中教授5人，副教授3人，包括省优秀教师1人，省特聘教授“钱江学者”1人，省“151”人才第一层次2人，省杰出青年基金获得者1人，省高校中青年学科带头人2人，省三育人先进个人2人，具有美国和日本知名大学留学工作经历者5人。近年来承担国家重点研发计划课题、973课题、国家自然科学基金等国家级项目20余项；承担省科技厅、省自然科学重点、省杰青、省基金、日本和新加坡知名企业国际合作等科研项目40余项。学位点在Biotechnol Bioeng, Appl Microbiol Biotechnol, Bioresource technol, J Hazard Mater, Toxicol Sci, Chemosphere, Chronobiol Int等国际期刊发表SCI论文100余篇，申请和授权国家发明专利20余项。毕业生主要流向中科院或国内外名校继续深造，或在高校和生物医药等相关企业从事研发、管理等工作。</w:t>
      </w:r>
    </w:p>
    <w:p>
      <w:pPr>
        <w:ind w:firstLine="481"/>
        <w:jc w:val="left"/>
        <w:rPr>
          <w:rFonts w:hint="eastAsia" w:ascii="仿宋" w:hAnsi="仿宋" w:eastAsia="仿宋"/>
          <w:b/>
          <w:sz w:val="24"/>
          <w:szCs w:val="24"/>
        </w:rPr>
      </w:pP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005</w:t>
      </w:r>
      <w:r>
        <w:rPr>
          <w:rFonts w:ascii="Cambria" w:hAnsi="Cambria" w:eastAsia="Cambria" w:cs="Cambria"/>
          <w:b/>
          <w:color w:val="auto"/>
          <w:sz w:val="24"/>
          <w:u w:val="none"/>
        </w:rPr>
        <w:t>生物工程学院</w:t>
      </w:r>
    </w:p>
    <w:p>
      <w:pPr>
        <w:jc w:val="left"/>
        <w:rPr>
          <w:rFonts w:hint="default" w:ascii="仿宋" w:hAnsi="仿宋" w:eastAsia="仿宋"/>
          <w:b/>
          <w:color w:val="FF0000"/>
          <w:sz w:val="24"/>
          <w:szCs w:val="24"/>
          <w:lang w:val="en-US"/>
        </w:rPr>
      </w:pPr>
      <w:r>
        <w:rPr>
          <w:rFonts w:hint="eastAsia" w:ascii="Times New Roman" w:hAnsi="Times New Roman" w:eastAsia="宋体" w:cs="Times New Roman"/>
          <w:b/>
          <w:color w:val="FF0000"/>
          <w:sz w:val="24"/>
          <w:u w:val="none"/>
          <w:lang w:val="en-US" w:eastAsia="zh-CN"/>
        </w:rPr>
        <w:t>081703生物化工</w:t>
      </w:r>
    </w:p>
    <w:p>
      <w:pPr>
        <w:ind w:firstLine="481"/>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生物化工学科是浙江省首批重中之重学科，1998年获得工学硕士学位授予权，2003年获得工学博士学位授予权。学科建有长三角绿色制药协同创新中心（国家2011计划）生物技术制药方向、生物转化与生物净化教育部工程研究中心、国家化学原料药合成工程技术研究中心生物制药中心、可再生资源利用与加工国家级实验教学示范中心、手性生物制造国家地方联合工程研究中心、浙江省生物有机合成技术研究重点实验室等教学科研平台。拥有一支较高学术水平的学科队伍，其中有中国工程院院士2人，教授18人，副教授24人。</w:t>
      </w:r>
    </w:p>
    <w:p>
      <w:pPr>
        <w:ind w:firstLine="481"/>
        <w:jc w:val="left"/>
        <w:rPr>
          <w:rFonts w:hint="eastAsia" w:ascii="仿宋" w:hAnsi="仿宋" w:eastAsia="仿宋"/>
          <w:b/>
          <w:sz w:val="24"/>
          <w:szCs w:val="24"/>
          <w:lang w:val="en-US" w:eastAsia="zh-CN"/>
        </w:rPr>
      </w:pPr>
      <w:r>
        <w:rPr>
          <w:rFonts w:hint="eastAsia" w:ascii="仿宋" w:hAnsi="仿宋" w:eastAsia="仿宋"/>
          <w:b/>
          <w:sz w:val="24"/>
          <w:szCs w:val="24"/>
          <w:lang w:val="en-US" w:eastAsia="zh-CN"/>
        </w:rPr>
        <w:t>近年来，学科承担了国家973 计划项目、国家863计划项目、国家自然科学基金、国家新药创制重大专项、浙江省重大科技专项及重大科技开发校企合作项目等重大课题，获得国家技术发明二等奖、国家科技进步二等奖、浙江省科学技术一等奖、教育部科技进步一等奖、中国石油和化学工业联合会技术发明一等奖、中国专利优秀奖等多项奖励，在《Chemical Reviews》、《Journal of Biotechnology》、《Applied Microbiology and Biotechnology》、《Biotechnology Progress》等学科知名期刊发表学术论文200多篇。</w:t>
      </w:r>
    </w:p>
    <w:p>
      <w:pPr>
        <w:ind w:firstLine="481"/>
        <w:jc w:val="left"/>
        <w:rPr>
          <w:rFonts w:ascii="仿宋" w:hAnsi="仿宋" w:eastAsia="仿宋"/>
          <w:b/>
          <w:sz w:val="24"/>
          <w:szCs w:val="24"/>
        </w:rPr>
      </w:pP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005</w:t>
      </w:r>
      <w:r>
        <w:rPr>
          <w:rFonts w:ascii="Cambria" w:hAnsi="Cambria" w:eastAsia="Cambria" w:cs="Cambria"/>
          <w:b/>
          <w:color w:val="auto"/>
          <w:sz w:val="24"/>
          <w:u w:val="none"/>
        </w:rPr>
        <w:t>生物工程学院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083600</w:t>
      </w:r>
      <w:r>
        <w:rPr>
          <w:rFonts w:ascii="Times New Roman" w:hAnsi="Times New Roman" w:eastAsia="Times New Roman" w:cs="Times New Roman"/>
          <w:b/>
          <w:color w:val="FF0000"/>
          <w:sz w:val="24"/>
          <w:u w:val="none"/>
        </w:rPr>
        <w:t>生物工程</w:t>
      </w:r>
    </w:p>
    <w:p>
      <w:pPr>
        <w:jc w:val="left"/>
        <w:rPr>
          <w:rFonts w:ascii="仿宋" w:hAnsi="仿宋" w:eastAsia="仿宋"/>
          <w:b/>
          <w:sz w:val="24"/>
          <w:szCs w:val="24"/>
        </w:rPr>
      </w:pPr>
      <w:r>
        <w:rPr>
          <w:rFonts w:hint="eastAsia" w:ascii="仿宋" w:hAnsi="仿宋" w:eastAsia="仿宋"/>
          <w:b/>
          <w:sz w:val="24"/>
          <w:szCs w:val="24"/>
          <w:lang w:val="en-US" w:eastAsia="zh-CN"/>
        </w:rPr>
        <w:t xml:space="preserve">    生物工程学科以生物化工重中之重学科为基础滚动进入浙江省重中之重学科建设，并于2015年入选浙江省首批“一流学科（A类）”和浙江省“重点高校建设计划”第一批重点建设学科。学科建有长三角绿色制药协同创新中心（国家2011计划）生物技术制药方向、生物转化与生物净化教育部工程研究中心、国家化学原料药合成工程技术研究中心生物制药中心、可再生资源利用与加工国家级实验教学示范中心、手性生物制造国家地方联合工程研究中心等教学科研平台。拥有一支较高学术水平的学科队伍，其中有中国工程院院士2人，教授18人，副教授24人。</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近年来，学科承担了国家973 计划项目、国家863计划项目、国家自然科学基金、国家新药创制重大专项、浙江省重大科技专项及重大科技开发校企合作项目等重大课题，瞄准生物产业发展过程的重大技术需求，开展共性关键技术研究和战略性重点产品开发，工程、工艺、产业化技术优势明显，授权国家发明专利60多件，建成多套生物制造工业化生产装置，获得国家技术发明二等奖、国家科技进步二等奖、浙江省科学技术一等奖、教育部科技进步一等奖、中国石油和化学工业联合会技术发明一等奖等多项奖励。</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005</w:t>
      </w:r>
      <w:r>
        <w:rPr>
          <w:rFonts w:ascii="Cambria" w:hAnsi="Cambria" w:eastAsia="Cambria" w:cs="Cambria"/>
          <w:b/>
          <w:color w:val="auto"/>
          <w:sz w:val="24"/>
          <w:u w:val="none"/>
        </w:rPr>
        <w:t>生物工程学院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086000</w:t>
      </w:r>
      <w:r>
        <w:rPr>
          <w:rFonts w:ascii="Times New Roman" w:hAnsi="Times New Roman" w:eastAsia="Times New Roman" w:cs="Times New Roman"/>
          <w:b/>
          <w:color w:val="FF0000"/>
          <w:sz w:val="24"/>
          <w:u w:val="none"/>
        </w:rPr>
        <w:t>生物与医药</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生物与医药专业学位生物工程领域以生物化工重中之重学科为基础，滚动进入浙江省重中之重学科建设，并于2015年入选浙江省首批“一流学科（A类）”和浙江省“重点高校建设计划”第一批重点建设学科。学科建有长三角绿色制药协同创新中心（国家2011计划）生物技术制药方向、生物转化与生物净化教育部工程研究中心、国家化学原料药合成工程技术研究中心生物制药中心、可再生资源利用与加工国家级实验教学示范中心、手性生物制造国家地方联合工程研究中心、浙江省生物有机合成技术研究重点实验室等教学科研平台。拥有一支较高学术水平的学科队伍，其中有中国工程院院士2人，教授18人，副教授24人。</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近年来，学科承担了国家973 计划项目、国家863计划项目、国家自然科学基金、国家新药创制重大专项、浙江省重大科技专项及重大科技开发校企合作项目等重大课题，瞄准生物产业发展过程的重大技术需求，开展共性关键技术研究和战略性重点产品开发，工程、工艺、产业化技术优势明显，授权国家发明专利60多件，建成多套生物制造工业化生产装置，获得国家技术发明二等奖、国家科技进步二等奖、浙江省科学技术一等奖、教育部科技进步一等奖、中国石油和化学工业联合会技术发明一等奖等多项奖励。</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006</w:t>
      </w:r>
      <w:r>
        <w:rPr>
          <w:rFonts w:ascii="Cambria" w:hAnsi="Cambria" w:eastAsia="Cambria" w:cs="Cambria"/>
          <w:b/>
          <w:color w:val="auto"/>
          <w:sz w:val="24"/>
          <w:u w:val="none"/>
        </w:rPr>
        <w:t>建筑工程学院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081300</w:t>
      </w:r>
      <w:r>
        <w:rPr>
          <w:rFonts w:ascii="Times New Roman" w:hAnsi="Times New Roman" w:eastAsia="Times New Roman" w:cs="Times New Roman"/>
          <w:b/>
          <w:color w:val="FF0000"/>
          <w:sz w:val="24"/>
          <w:u w:val="none"/>
        </w:rPr>
        <w:t>建筑学</w:t>
      </w:r>
    </w:p>
    <w:p>
      <w:pPr>
        <w:jc w:val="left"/>
        <w:rPr>
          <w:rFonts w:ascii="仿宋" w:hAnsi="仿宋" w:eastAsia="仿宋"/>
          <w:b/>
          <w:sz w:val="24"/>
          <w:szCs w:val="24"/>
        </w:rPr>
      </w:pPr>
      <w:r>
        <w:rPr>
          <w:rFonts w:hint="eastAsia" w:ascii="仿宋" w:hAnsi="仿宋" w:eastAsia="仿宋"/>
          <w:b/>
          <w:sz w:val="24"/>
          <w:szCs w:val="24"/>
          <w:lang w:val="en-US" w:eastAsia="zh-CN"/>
        </w:rPr>
        <w:t xml:space="preserve">    建筑学专业办学已历30余年，2010年建筑学本科专业通过专业评估，是浙江省属高校中的唯一；2018年获得建筑学硕士学位授予权。建筑学科现有教授4人，副教授15人，具有博士学位的教师16人。其中钱江特聘教授1人，浙江省新世纪151人才工程5人。近五年，学科先后承担和完成了国家自然科学和社会科学基金项目9项、省部级科技计划项目30项，科研到款总数千万余元；在国内外表论文100余篇；获省部级科研成果奖1项。</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建筑学一级学科硕士授权点包含建筑设计及其理论、城市设计及其理论、建筑遗产保护及其理论、建筑技术科学四个二级学科，研究内容涵盖绿色建筑技术、城市设计、古村落保护和乡村环境设计、建筑遗产、养老设施设计、建筑工业化、建筑色彩与材料等领域；结合长三角地区和浙江特色的城乡建设的新常态，形成“政产学研”紧密结合的学科特色，并拥有浙江省特色专业、浙江工业大学重点学科等支持平台，特别在地域性人居环境理论和建筑文化研究上具有学科优势。</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006</w:t>
      </w:r>
      <w:r>
        <w:rPr>
          <w:rFonts w:ascii="Cambria" w:hAnsi="Cambria" w:eastAsia="Cambria" w:cs="Cambria"/>
          <w:b/>
          <w:color w:val="auto"/>
          <w:sz w:val="24"/>
          <w:u w:val="none"/>
        </w:rPr>
        <w:t>建筑工程学院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081400</w:t>
      </w:r>
      <w:r>
        <w:rPr>
          <w:rFonts w:ascii="Times New Roman" w:hAnsi="Times New Roman" w:eastAsia="Times New Roman" w:cs="Times New Roman"/>
          <w:b/>
          <w:color w:val="FF0000"/>
          <w:sz w:val="24"/>
          <w:u w:val="none"/>
        </w:rPr>
        <w:t>土木工程</w:t>
      </w:r>
    </w:p>
    <w:p>
      <w:pPr>
        <w:jc w:val="left"/>
        <w:rPr>
          <w:rFonts w:ascii="仿宋" w:hAnsi="仿宋" w:eastAsia="仿宋"/>
          <w:b/>
          <w:sz w:val="24"/>
          <w:szCs w:val="24"/>
        </w:rPr>
      </w:pPr>
      <w:r>
        <w:rPr>
          <w:rFonts w:hint="eastAsia" w:ascii="仿宋" w:hAnsi="仿宋" w:eastAsia="仿宋"/>
          <w:b/>
          <w:sz w:val="24"/>
          <w:szCs w:val="24"/>
          <w:lang w:val="en-US" w:eastAsia="zh-CN"/>
        </w:rPr>
        <w:t xml:space="preserve">    土木工程学位点所依托的学科始建于1979年，在浙江省属高校中办学历史最悠久，为浙江省一流学科，拥有土木工程一级学科博士授权点，下设岩土工程、结构工程、市政工程、桥梁与隧道工程、防灾减灾工程及防护工程、港口航道和水资源工程，共六个二级学科方向。</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位点依托科技部滨海软土工程防灾减灾国际科技合作基地、浙江省工程结构与防灾减灾技术研究重点实验室、浙江省土木工程防灾减灾虚拟仿真实验教学中心、浙江省研究生联合培养基地等科研教学平台，主动对接国家和地方的发展战略和建设需求，坚持创新与应用并重，倡导产学研一体化协同创新和跨学科研究的交叉融合。近五年，承担国家重点研发计划项目在内的各类国家级项目48项，研究经费6100余万元，获浙江省科学技术一等奖1项、二等奖2项、三等奖1项，获授权国家专利140余项，发表高水平学术论文240余篇。</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学位点先后与多所国外高校开展合作研究，优秀研究生将有机会赴合作学校参加学习或课题研究。</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006</w:t>
      </w:r>
      <w:r>
        <w:rPr>
          <w:rFonts w:ascii="Cambria" w:hAnsi="Cambria" w:eastAsia="Cambria" w:cs="Cambria"/>
          <w:b/>
          <w:color w:val="auto"/>
          <w:sz w:val="24"/>
          <w:u w:val="none"/>
        </w:rPr>
        <w:t>建筑工程学院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083300</w:t>
      </w:r>
      <w:r>
        <w:rPr>
          <w:rFonts w:ascii="Times New Roman" w:hAnsi="Times New Roman" w:eastAsia="Times New Roman" w:cs="Times New Roman"/>
          <w:b/>
          <w:color w:val="FF0000"/>
          <w:sz w:val="24"/>
          <w:u w:val="none"/>
        </w:rPr>
        <w:t>城乡规划学</w:t>
      </w:r>
    </w:p>
    <w:p>
      <w:pPr>
        <w:jc w:val="left"/>
        <w:rPr>
          <w:rFonts w:ascii="仿宋" w:hAnsi="仿宋" w:eastAsia="仿宋"/>
          <w:b/>
          <w:sz w:val="24"/>
          <w:szCs w:val="24"/>
        </w:rPr>
      </w:pPr>
      <w:r>
        <w:rPr>
          <w:rFonts w:hint="eastAsia" w:ascii="仿宋" w:hAnsi="仿宋" w:eastAsia="仿宋"/>
          <w:b/>
          <w:sz w:val="24"/>
          <w:szCs w:val="24"/>
          <w:lang w:val="en-US" w:eastAsia="zh-CN"/>
        </w:rPr>
        <w:t xml:space="preserve">    城乡规划学一级学科硕士点以国家新型城镇化战略与浙江省城镇化示范区为导向，是APSA(亚洲规划院校联盟)的正式会员，“城市规划与设计”也是浙江省重点学科。硕士点目前拥有四个稳定、相互支撑的学科方向，在城乡规划、建筑和景观设计等领域的理论和实践创新具有鲜明特色，在区域内奠定了学科特色优势和广泛的影响力。</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近5年来，本学位点的科学研究水平快速提升发展，承担国家社科重大课题1项，国家自科或社科基金7项，发表学术论文180多篇，出版专著及教材20余部；获得厅级以上科学技术和教学奖9项。对接浙江省重大战略需求，服务地方政府经济社会发展，完成的百余项规划设计咨询项目获得多项省城乡规划设计奖项，以及多个省部级领导批示。</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各研究方向所开展的科学技术研究将直接支撑浙江省发展战略和工程建设，以提升解决经济社会发展重大问题的能力为发展主线，立足浙江、对接区域、走向全国，为浙江省以及长江三角洲区域经济社会发展做出重要贡献。</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006</w:t>
      </w:r>
      <w:r>
        <w:rPr>
          <w:rFonts w:ascii="Cambria" w:hAnsi="Cambria" w:eastAsia="Cambria" w:cs="Cambria"/>
          <w:b/>
          <w:color w:val="auto"/>
          <w:sz w:val="24"/>
          <w:u w:val="none"/>
        </w:rPr>
        <w:t>建筑工程学院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085900</w:t>
      </w:r>
      <w:r>
        <w:rPr>
          <w:rFonts w:ascii="Times New Roman" w:hAnsi="Times New Roman" w:eastAsia="Times New Roman" w:cs="Times New Roman"/>
          <w:b/>
          <w:color w:val="FF0000"/>
          <w:sz w:val="24"/>
          <w:u w:val="none"/>
        </w:rPr>
        <w:t>土木水利</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土木水利学位点所依托的学科始建于1979年，在浙江省属高校中办学历史最悠久，为浙江省一流学科。下设结构工程、岩土工程、桥梁与隧道工程、市政工程、防灾减灾工程及防护工程五个研究方向。</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位点依托科技部滨海软土工程防灾减灾国际科技合作基地、浙江省工程结构与防灾减灾技术研究重点实验室、浙江省土木工程防灾减灾虚拟仿真实验教学中心、浙江省研究生联合培养基地等科研教学平台，主动对接国家和地方的发展战略和建设需求，坚持创新与应用并重，倡导产学研一体化协同创新和跨学科研究的交叉融合。近五年，承担国家重点研发计划在内的各类国家级项目48项，研究经费6100余万元，获浙江省科学技术一等奖1项、二等奖2项、三等奖1项，获授权国家专利140余项，发表高水平学术论文240余篇。</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学位点建立了30余个校外实践基地，紧密联系工程实际，培养应用型高层次专门人才，先后与多所国外高校开展合作研究，优秀研究生将有机会赴合作学校开展课题研究。</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007</w:t>
      </w:r>
      <w:r>
        <w:rPr>
          <w:rFonts w:ascii="Cambria" w:hAnsi="Cambria" w:eastAsia="Cambria" w:cs="Cambria"/>
          <w:b/>
          <w:color w:val="auto"/>
          <w:sz w:val="24"/>
          <w:u w:val="none"/>
        </w:rPr>
        <w:t>药学院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086000</w:t>
      </w:r>
      <w:r>
        <w:rPr>
          <w:rFonts w:ascii="Times New Roman" w:hAnsi="Times New Roman" w:eastAsia="Times New Roman" w:cs="Times New Roman"/>
          <w:b/>
          <w:color w:val="FF0000"/>
          <w:sz w:val="24"/>
          <w:u w:val="none"/>
        </w:rPr>
        <w:t>生物与医药</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本专业硕士学位点依托于学院及“长三角绿色制药协同创新中心”（国家首批“2011计划”）、国家化学原料药合成工程技术研究中心、绿色化学制药技术与装备教育部重点实验室、绿色化学制药国家地方联合工程实验室、绿色制药浙江省工程实验室、浙江省制药工程重点实验室等学科及研究平台，拥有一支学术造诣精深、学术思想活跃、教学经验丰富、敬业爱岗的师资队伍，正高37人，副高39人，具有博士学位80人。本学位点承担国家科技支撑计划、973计划、国家自然科学基金、重大国际合作、国家重点试制产品以及浙江省自然科学基金、重大科技专项、国际合作和省技术创新等项目300余项；获国家技术发明二等奖1项，省部级奖30余项；发表三大索引论文900余篇，获授权发明专利400余项，出版专著3部。</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生物与医药（原制药工程）硕士是与制药工程师相联系的专业性学位，侧重于工程应用。本学位点旨在培养既有生物与医药（原制药工程）领域坚实的基础知识，又有广博的现代化学、生物学、药事管理、药剂学的专业知识，掌握现代化学制药工程、生物制药工程技术、药事管理和现代药剂学的方法与手段，并具有创新意识和良好的科学素养，能独立担负工程技术和工程管理工作能力，毕业后能够从事化学制药、生物制药、药物制剂等方面的新药研究、产品开发、生产工艺和药物筛选、鉴定、药品质量监督管理以及药品企业管理、市场开发等工作的应用型、复合型高层次工程技术与工程管理人才。</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007</w:t>
      </w:r>
      <w:r>
        <w:rPr>
          <w:rFonts w:ascii="Cambria" w:hAnsi="Cambria" w:eastAsia="Cambria" w:cs="Cambria"/>
          <w:b/>
          <w:color w:val="auto"/>
          <w:sz w:val="24"/>
          <w:u w:val="none"/>
        </w:rPr>
        <w:t>药学院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100700</w:t>
      </w:r>
      <w:r>
        <w:rPr>
          <w:rFonts w:ascii="Times New Roman" w:hAnsi="Times New Roman" w:eastAsia="Times New Roman" w:cs="Times New Roman"/>
          <w:b/>
          <w:color w:val="FF0000"/>
          <w:sz w:val="24"/>
          <w:u w:val="none"/>
        </w:rPr>
        <w:t>药学</w:t>
      </w:r>
    </w:p>
    <w:p>
      <w:pPr>
        <w:jc w:val="left"/>
        <w:rPr>
          <w:rFonts w:ascii="仿宋" w:hAnsi="仿宋" w:eastAsia="仿宋"/>
          <w:b/>
          <w:sz w:val="24"/>
          <w:szCs w:val="24"/>
        </w:rPr>
      </w:pPr>
      <w:r>
        <w:rPr>
          <w:rFonts w:hint="eastAsia" w:ascii="仿宋" w:hAnsi="仿宋" w:eastAsia="仿宋"/>
          <w:b/>
          <w:sz w:val="24"/>
          <w:szCs w:val="24"/>
          <w:lang w:val="en-US" w:eastAsia="zh-CN"/>
        </w:rPr>
        <w:t xml:space="preserve">    药学一级硕士学位点由药物化学、药剂学、天然药物学、药物分析学、微生物与生化药学、药理学、化学生物学等7个二级学科组成，为国家首批2011计划——长三角绿色制药协同创新中心和浙江省重中之重学科的支撑学科。本学位点拥有两个国家级平台---长三角绿色制药协同创新中心和国家化学原料药合成工程技术研究中心，还拥有绿色化学制药技术与装备教育部重点实验室、绿色化学制药国家地方联合工程实验室、绿色制药浙江省工程实验室、浙江省新药创制科技服务平台、浙江省制药工程重点实验室等科学研究平台；拥有新药开发、绿色化学制药技术、药物合成工艺、机械化学、生物制药、生药及天然药物、药物制剂、药理、药物分析、中药等10个研究所及浙江省重点创新团队1个。</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位点现有正高37人，副高39人，具有博士学位80人，博导28人，硕导71人；国家外专千人1人，国家千人1人，省特级专家1名，省有突出贡献中青年专家1名，教育部“新世纪优秀人才”1名、“钱江学者”2名，省千人3名，省高校中青年学科带头人7名，省“新世纪151人才工程”24名。本学位点承担国家科技支撑计划、973计划、国家自然科学基金、重大国际合作、国家重点试制产品以及浙江省自然科学基金、重大科技专项、国际合作和省技术创新等项目300余项；获国家技术发明二等奖1项，省部级奖30余项；发表三大索引论文900余篇，获授权发明专利400余项，出版专著3部。</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本学位点旨在培养具有坚实的药学基础理论、宽广的专业知识、创新意识强，能独立承担药学相关前沿科研、解决药学相关实际问题和胜任药学相关学科教学等的综合性高级药学技术人才。</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007</w:t>
      </w:r>
      <w:r>
        <w:rPr>
          <w:rFonts w:ascii="Cambria" w:hAnsi="Cambria" w:eastAsia="Cambria" w:cs="Cambria"/>
          <w:b/>
          <w:color w:val="auto"/>
          <w:sz w:val="24"/>
          <w:u w:val="none"/>
        </w:rPr>
        <w:t>药学院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105500</w:t>
      </w:r>
      <w:r>
        <w:rPr>
          <w:rFonts w:ascii="Times New Roman" w:hAnsi="Times New Roman" w:eastAsia="Times New Roman" w:cs="Times New Roman"/>
          <w:b/>
          <w:color w:val="FF0000"/>
          <w:sz w:val="24"/>
          <w:u w:val="none"/>
        </w:rPr>
        <w:t>药学</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本专业硕士学位点依托于学院药学一级学科博士点建设，拥有长三角绿色制药协同创新中心（国家首批“2011计划”）、国家化学原料药合成工程技术研究中心、绿色化学制药技术与装备教育部重点实验室、绿色化学制药国家地方联合工程实验室、绿色制药浙江省工程实验室、等学科及研究平台,建有新药开发、绿色化学制药技术、药物合成工艺、机械化学、生物制药、生药及天然药物、药物制剂、药理、药物分析、中药等10个研究所及浙江省重点创新团队1个。</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拥有一支学术造诣精深、学术思想活跃、教学经验丰富、敬业爱岗的师资队伍，其中正高37人，副高39人，具有博士学位80人，博导28人，硕导71人；国家外专千人计划1人，国家千人计划1人，省特级专家1名，省有突出贡献中青年专家1名，教育部“新世纪优秀人才”1名、“钱江学者”2名，省千人计划3名，省高校中青年学科带头人7名，省“新世纪151人才工程”24名。本学位点承担国家科技支撑计划、973计划、国家自然科学基金、重大国际合作、国家重点试制产品以及浙江省自然科学基金、重大科技专项、国际合作和省技术创新等项目300余项；获国家技术发明二等奖1项，省部级奖30余项；发表三大索引论文900余篇，获授权发明专利400余项，出版专著3部。</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旨在培养具有坚实的药学基础理论、宽广的专业知识，具有创新意识，能独立承担新药研制与开发、制药工艺改造、药品质量检测、药事管理及药品销售管理等实践应用能力的复合型、应用型高层次技术人才。</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008</w:t>
      </w:r>
      <w:r>
        <w:rPr>
          <w:rFonts w:ascii="Cambria" w:hAnsi="Cambria" w:eastAsia="Cambria" w:cs="Cambria"/>
          <w:b/>
          <w:color w:val="auto"/>
          <w:sz w:val="24"/>
          <w:u w:val="none"/>
        </w:rPr>
        <w:t>计算机科学与技术学院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081200</w:t>
      </w:r>
      <w:r>
        <w:rPr>
          <w:rFonts w:ascii="Times New Roman" w:hAnsi="Times New Roman" w:eastAsia="Times New Roman" w:cs="Times New Roman"/>
          <w:b/>
          <w:color w:val="FF0000"/>
          <w:sz w:val="24"/>
          <w:u w:val="none"/>
        </w:rPr>
        <w:t>计算机科学与技术</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计算机科学与技术学院计算机科学与技术学科列入浙江省一流学科A类和浙江省重点高校重点学科建设计划，拥有浙江省可视媒体智能处理技术研究重点实验室等科研平台，与英国工程技术学会（IET）建立教育合作伙伴关系，与英国拉夫堡大学、新加坡国立大学、加拿大达尔豪斯大学等国际知名大学合作培养人才，在（浙江）国家数字娱乐产业示范基地、杭州国家软件产业基地、杭州国家动画基地等高新技术开发区建有研究生培养平台。</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院现有教职工180余人，教授23人，教授级高工2人，兼职教授6人，副教授71人，博士生导师30人，硕士生导师115人。师资队伍中有国家杰出青年基金获得者、国家万人计划科技创新领军人才、国家万人计划教学名师、科技部中青年科技创新领军人才、教育部新世纪优秀人才支持计划、浙江省教学名师、浙江省“151 人才”、浙江省高校中青年学科带头人等高层次人才，骨干教师以年青人为主。主要学术骨干都有国外留学或访问研究的经历，绝大部分教师具有博士学位；承担了国家自然科学基金重点项目、国家科技支撑计划、国家973计划、国家863计划等各类项目200多项，获得了国家教学成果二等奖、浙江省科技进步一等奖等20多项重要成果，在包括IEEE Transactions等国际顶级和权威期刊在内的国内外重要学术期刊和学术会议上发表论文500余篇。</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008</w:t>
      </w:r>
      <w:r>
        <w:rPr>
          <w:rFonts w:ascii="Cambria" w:hAnsi="Cambria" w:eastAsia="Cambria" w:cs="Cambria"/>
          <w:b/>
          <w:color w:val="auto"/>
          <w:sz w:val="24"/>
          <w:u w:val="none"/>
        </w:rPr>
        <w:t>计算机科学与技术学院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083500</w:t>
      </w:r>
      <w:r>
        <w:rPr>
          <w:rFonts w:ascii="Times New Roman" w:hAnsi="Times New Roman" w:eastAsia="Times New Roman" w:cs="Times New Roman"/>
          <w:b/>
          <w:color w:val="FF0000"/>
          <w:sz w:val="24"/>
          <w:u w:val="none"/>
        </w:rPr>
        <w:t>软件工程</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计算机科学与技术学院软件工程学科列入浙江省一流学科B类建设计划，依托浙江省“可视媒体智能处理技术研究”重点实验室、“浙江省软件产业科技创新服务平台”、“浙江省网络空间安全创新研究中心”等科研平台，与国内的清华大学、浙江大学、北京航空航天大学、中国科学院遥感研究所，国外的英国拉夫堡大学、新加坡国立大学、加拿大达尔豪斯大学，以及杭州国家软件产业基地、杭州国家动画产业基地、（浙江）国家数字娱乐产业示范基地等单位在科研和联合培养研究生方面开展合作。</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院现有教职工180余人，教授23人，教授级高工2人，兼职教授6人，副教授71人，博士生导师30人，硕士生导师115人。师资队伍中有国家杰出青年基金获得者、国家万人计划科技创新领军人才、国家万人计划教学名师、科技部中青年科技创新领军人才、教育部新世纪优秀人才支持计划、浙江省教学名师、浙江省“151 人才”、浙江省高校中青年学科带头人等高层次人才，骨干教师以年青人为主。主要学术骨干都有国外留学或访问研究的经历，绝大部分教师具有博士学位；承担了国家自然科学基金重点项目、国家科技支撑计划、国家973计划、国家863计划等各类项目200多项，获得了国家教学成果二等奖、浙江省科技进步一等奖等20多项重要成果，在包括IEEE Transactions等国际顶级和权威期刊在内的国内外重要学术期刊和学术会议上发表论文500余篇。</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008</w:t>
      </w:r>
      <w:r>
        <w:rPr>
          <w:rFonts w:ascii="Cambria" w:hAnsi="Cambria" w:eastAsia="Cambria" w:cs="Cambria"/>
          <w:b/>
          <w:color w:val="auto"/>
          <w:sz w:val="24"/>
          <w:u w:val="none"/>
        </w:rPr>
        <w:t>计算机科学与技术学院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085400</w:t>
      </w:r>
      <w:r>
        <w:rPr>
          <w:rFonts w:ascii="Times New Roman" w:hAnsi="Times New Roman" w:eastAsia="Times New Roman" w:cs="Times New Roman"/>
          <w:b/>
          <w:color w:val="FF0000"/>
          <w:sz w:val="24"/>
          <w:u w:val="none"/>
        </w:rPr>
        <w:t>电子信息</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计算机科学与技术学院计算机科学与技术学科列入浙江省一流学科A类和浙江省重点高校重点学科建设计划、软件工程学科列入浙江省一流学科B类建设计划，拥有浙江省可视媒体智能处理技术研究重点实验室、“浙江省软件产业科技创新服务平台”、“浙江省网络空间安全创新研究中心</w:t>
      </w:r>
      <w:bookmarkStart w:id="0" w:name="_GoBack"/>
      <w:bookmarkEnd w:id="0"/>
      <w:r>
        <w:rPr>
          <w:rFonts w:hint="eastAsia" w:ascii="仿宋" w:hAnsi="仿宋" w:eastAsia="仿宋"/>
          <w:b/>
          <w:sz w:val="24"/>
          <w:szCs w:val="24"/>
          <w:lang w:val="en-US" w:eastAsia="zh-CN"/>
        </w:rPr>
        <w:t>”等科研平台，在（浙江）国家数字娱乐产业示范基地、杭州国家软件产业基地、杭州国家动画基地等高新技术开发区建有研究生培养平台。</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院现有教职工180余人，教授23人，教授级高工2人，兼职教授6人，副教授71人，博士生导师30人，硕士生导师115人。师资队伍中有国家杰出青年基金获得者、国家万人计划科技创新领军人才、国家万人计划教学名师、科技部中青年科技创新领军人才、教育部新世纪优秀人才支持计划、浙江省教学名师、浙江省“151 人才”、浙江省高校中青年学科带头人等高层次人才，骨干教师以年青人为主。主要学术骨干都有国外留学或访问研究的经历，绝大部分教师具有博士学位；承担了国家自然科学基金重点项目、国家科技支撑计划、国家973计划、国家863计划等各类项目200多项，获得了国家教学成果二等奖、浙江省科技进步一等奖等20多项重要成果，在包括IEEE Transactions等国际顶级和权威期刊在内的国内外重要学术期刊和学术会议上发表论文500余篇。</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009</w:t>
      </w:r>
      <w:r>
        <w:rPr>
          <w:rFonts w:ascii="Cambria" w:hAnsi="Cambria" w:eastAsia="Cambria" w:cs="Cambria"/>
          <w:b/>
          <w:color w:val="auto"/>
          <w:sz w:val="24"/>
          <w:u w:val="none"/>
        </w:rPr>
        <w:t>理学院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070100</w:t>
      </w:r>
      <w:r>
        <w:rPr>
          <w:rFonts w:ascii="Times New Roman" w:hAnsi="Times New Roman" w:eastAsia="Times New Roman" w:cs="Times New Roman"/>
          <w:b/>
          <w:color w:val="FF0000"/>
          <w:sz w:val="24"/>
          <w:u w:val="none"/>
        </w:rPr>
        <w:t>数学</w:t>
      </w:r>
    </w:p>
    <w:p>
      <w:pPr>
        <w:jc w:val="left"/>
        <w:rPr>
          <w:rFonts w:ascii="仿宋" w:hAnsi="仿宋" w:eastAsia="仿宋"/>
          <w:b/>
          <w:sz w:val="24"/>
          <w:szCs w:val="24"/>
        </w:rPr>
      </w:pPr>
      <w:r>
        <w:rPr>
          <w:rFonts w:hint="eastAsia" w:ascii="仿宋" w:hAnsi="仿宋" w:eastAsia="仿宋"/>
          <w:b/>
          <w:sz w:val="24"/>
          <w:szCs w:val="24"/>
          <w:lang w:val="en-US" w:eastAsia="zh-CN"/>
        </w:rPr>
        <w:t xml:space="preserve">    数学一级学科设有浙江工业大学几何与分析研究所和数据科学研究所，应用数学为浙江省重点学科。学科设有分析与几何、微分方程与动力系统、可视化计算、优化与控制、金融数学与应用统计、数据科学等六个有特色的优势研究团队。</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科现有教授12名，副教授33名，硕士导师21人，拥有博士（后）学位的教师56人，省千人计划1人，省“151”人才6人，省中青年学科带头人4人，有长江杰青特聘兼职教授。经过多年的建设与发展，数学学科已经形成了研究方向明确、职称和年龄结构合理的高水平科研队伍。</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科教师近年来主持承担国家级项目（其中国家自然科学基金项目40项）、省级重点项目、省自然科学基金项目（目前主持在研12项）多项和科技创新应用项目。发表SCI、EI收录的重要学术论文数百篇，其中ESI高被引17篇，申请和授权国家发明专利13项，研究成果受到了国内外同行高度关注。学科教师获得省级以上教学、科研成果奖多项，指导学生获得国际数学建模竞赛特等奖一项和特等提名奖二项，获得全国数学建模MATLAB创新奖、国家一、二等奖多项。</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009</w:t>
      </w:r>
      <w:r>
        <w:rPr>
          <w:rFonts w:ascii="Cambria" w:hAnsi="Cambria" w:eastAsia="Cambria" w:cs="Cambria"/>
          <w:b/>
          <w:color w:val="auto"/>
          <w:sz w:val="24"/>
          <w:u w:val="none"/>
        </w:rPr>
        <w:t>理学院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070200</w:t>
      </w:r>
      <w:r>
        <w:rPr>
          <w:rFonts w:ascii="Times New Roman" w:hAnsi="Times New Roman" w:eastAsia="Times New Roman" w:cs="Times New Roman"/>
          <w:b/>
          <w:color w:val="FF0000"/>
          <w:sz w:val="24"/>
          <w:u w:val="none"/>
        </w:rPr>
        <w:t>物理学</w:t>
      </w:r>
    </w:p>
    <w:p>
      <w:pPr>
        <w:jc w:val="left"/>
        <w:rPr>
          <w:rFonts w:ascii="仿宋" w:hAnsi="仿宋" w:eastAsia="仿宋"/>
          <w:b/>
          <w:sz w:val="24"/>
          <w:szCs w:val="24"/>
        </w:rPr>
      </w:pPr>
      <w:r>
        <w:rPr>
          <w:rFonts w:hint="eastAsia" w:ascii="仿宋" w:hAnsi="仿宋" w:eastAsia="仿宋"/>
          <w:b/>
          <w:sz w:val="24"/>
          <w:szCs w:val="24"/>
          <w:lang w:val="en-US" w:eastAsia="zh-CN"/>
        </w:rPr>
        <w:t xml:space="preserve">    物理学是浙江省一流学科。学科有5个二级学科方向：光学、理论物理、凝聚态物理、等离子体物理、声学。光学学科2005年以来一直是浙江省重点学科，是理学院的主干学科。量子光学与精密测量、纳米材料光学及器件、相对论与引力等方向在国内外有较大的影响。学科拥有国家级物理实验教学示范中心和国家级物理课程教学团队。</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科注重基础理论与实际应用的结合、国家急需和区域特色的结合，近年来承担了国家重点研发计划、国家重大科研仪器研制、国家自然科学基金等一批重要的科研项目，科研经费充裕。在国内外著名学术期刊上发表了一系列高水平的科研论文，获多项省部级以上科研和教学成果奖，拥有数十项发明专利。学科队伍由国家杰出青年基金获得者、全国优秀博士论文获得者、浙江省“千人计划”特聘教授、浙江省特聘“钱江学者”等高层次人才组成。</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科现有量子精密测量实验室、激光实验室、镀膜实验室、纳米材料制备实验室、光纤实验室等。学科的研究方向稳定、师资队伍学术水平高、研究成果丰硕、学术氛围浓郁，发展态势良好。毕业研究生就业渠道宽，受到国内外高校、科研院所、光电子行业企业及教育界的广泛欢迎。</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009</w:t>
      </w:r>
      <w:r>
        <w:rPr>
          <w:rFonts w:ascii="Cambria" w:hAnsi="Cambria" w:eastAsia="Cambria" w:cs="Cambria"/>
          <w:b/>
          <w:color w:val="auto"/>
          <w:sz w:val="24"/>
          <w:u w:val="none"/>
        </w:rPr>
        <w:t>理学院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080300</w:t>
      </w:r>
      <w:r>
        <w:rPr>
          <w:rFonts w:ascii="Times New Roman" w:hAnsi="Times New Roman" w:eastAsia="Times New Roman" w:cs="Times New Roman"/>
          <w:b/>
          <w:color w:val="FF0000"/>
          <w:sz w:val="24"/>
          <w:u w:val="none"/>
        </w:rPr>
        <w:t>光学工程</w:t>
      </w:r>
    </w:p>
    <w:p>
      <w:pPr>
        <w:jc w:val="left"/>
        <w:rPr>
          <w:rFonts w:ascii="仿宋" w:hAnsi="仿宋" w:eastAsia="仿宋"/>
          <w:b/>
          <w:sz w:val="24"/>
          <w:szCs w:val="24"/>
        </w:rPr>
      </w:pPr>
      <w:r>
        <w:rPr>
          <w:rFonts w:hint="eastAsia" w:ascii="仿宋" w:hAnsi="仿宋" w:eastAsia="仿宋"/>
          <w:b/>
          <w:sz w:val="24"/>
          <w:szCs w:val="24"/>
          <w:lang w:val="en-US" w:eastAsia="zh-CN"/>
        </w:rPr>
        <w:t xml:space="preserve">    “光学工程”学位点依托“光学工程”一级学科。2005年获得硕士学位授予权，2010年取得专业硕士学位授予权，2012年成为浙江工业大学校重点学科。</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侧重在工程光学及其在交叉学科领域开展研究。近年来主持包括国家自然科学基金、国家重点研发计划子课题、国家国际科技合作项目在内的省部级以上项目30余项。获教育部奖、中国专利奖优秀奖、浙江省科学技术二等奖、中国侨界贡献（创新团队）奖等多项奖励。发表SCI、EI索引论文100余篇；获授权中国发明专利70余项。与国内外多家知名大学和科研院所有密切的科研合作关系。</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位点现有导师21人，并聘请乌克兰科学院院士为首席科学家。培养过程中，既注重引导学生熟悉国际前沿，培养学生学术研究能力，又精心指导学生参与科研项目，培养学生项目研发能力。学科研究生先后获得多项浙江省新苗计划项目和浙江省研究生创新科研项目支持，以及全国“挑战杯”二等奖、浙江省“挑战杯”特等奖等奖励。毕业生广受信息类、光电类用人单位欢迎。</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009</w:t>
      </w:r>
      <w:r>
        <w:rPr>
          <w:rFonts w:ascii="Cambria" w:hAnsi="Cambria" w:eastAsia="Cambria" w:cs="Cambria"/>
          <w:b/>
          <w:color w:val="auto"/>
          <w:sz w:val="24"/>
          <w:u w:val="none"/>
        </w:rPr>
        <w:t>理学院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085400</w:t>
      </w:r>
      <w:r>
        <w:rPr>
          <w:rFonts w:ascii="Times New Roman" w:hAnsi="Times New Roman" w:eastAsia="Times New Roman" w:cs="Times New Roman"/>
          <w:b/>
          <w:color w:val="FF0000"/>
          <w:sz w:val="24"/>
          <w:u w:val="none"/>
        </w:rPr>
        <w:t>电子信息</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光学工程学位点依托理学院“光学工程”一级学科，是电子信息领域专业硕士培养中的重要组成部分。“光学工程”于2005年获得硕士学位授予权，2010年取得专业硕士学位授予权，2012年成为浙江工业大学校重点学科。</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近年来主持包括国家自然科学基金、国家国际科技合作项目、国家重点研发计划子课题在内的省部级以上项目30余项。获教育部奖、中国专利奖优秀奖、浙江省科学技术二等奖、中国侨界贡献（创新团队）奖等多项奖励。发表SCI、EI索引论文100余篇；获授权中国发明专利70余项，其中13项专利转让给企业实施产业化，取得了良好的经济和社会效益。与浙江省信息产业、光电子产业的众多企业有着良好的合作关系，并建立了多个专业学位硕士研究生培养基地。</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光学工程学科方向现有学校导师21名，企业导师15名。在校学习期间，学生通过专业课程学习专业基础知识，通过案例课程培养工程观念。企业学习期间，学生直接参与企业导师的项目开发，锻炼项目研发能力。毕业生受到国内用人单位，特别是信息类、光电类高新技术企业和运营商的广泛欢迎。</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010</w:t>
      </w:r>
      <w:r>
        <w:rPr>
          <w:rFonts w:ascii="Cambria" w:hAnsi="Cambria" w:eastAsia="Cambria" w:cs="Cambria"/>
          <w:b/>
          <w:color w:val="auto"/>
          <w:sz w:val="24"/>
          <w:u w:val="none"/>
        </w:rPr>
        <w:t>人文学院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045300</w:t>
      </w:r>
      <w:r>
        <w:rPr>
          <w:rFonts w:ascii="Times New Roman" w:hAnsi="Times New Roman" w:eastAsia="Times New Roman" w:cs="Times New Roman"/>
          <w:b/>
          <w:color w:val="FF0000"/>
          <w:sz w:val="24"/>
          <w:u w:val="none"/>
        </w:rPr>
        <w:t>汉语国际教育</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浙江工业大学人文学院2018年获批汉语国际教育专业硕士研究生招生资格， 2019年开始招生。汉语国际教育专业硕士点依托于中国语言文学一级学科，学科目前建有浙江省一流学科，设有浙江省高校人文社会科学重点研究基地，有1个国家特色专业、1支国家教学团队、1门国家精品课程、1门国家精品资源共享课程、1个省重点学科和1个省级实验教学示范中心，教学和科研实力强劲。</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科师资雄厚，现有教师39人，教授19人、副教授16人，具有博士学位的教师33人。其中国家级教学名师1名、全国优秀教师1名、享受政府特殊津贴人员2名、国家教学指导委员会委员1名、浙江省特级专家2名、浙江省教学指导委员会主任委员2名。</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近年来，学科教师在《中国社会科学》、《中国语言》等刊物上发表高水平论文300余篇，在商务印书馆、中国社会科学出版社、上海古籍出版社等出版学术专著34部，主持承担国家社会科学基金、国家教育部、浙江省社科规划重点和一般等项目41项，获国家优秀教学成果二等奖、浙江省优秀教学成果一等奖、浙江省社科优秀成果奖等近20项。</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本学科重视汉语国际教育硕士研究生的国际化培养工作，学校目前已分别与美国瓦尔帕莱索大学、加纳共建孔子学院，本学科与美国西密歇根大学等国外高校建立合作项目。</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010</w:t>
      </w:r>
      <w:r>
        <w:rPr>
          <w:rFonts w:ascii="Cambria" w:hAnsi="Cambria" w:eastAsia="Cambria" w:cs="Cambria"/>
          <w:b/>
          <w:color w:val="auto"/>
          <w:sz w:val="24"/>
          <w:u w:val="none"/>
        </w:rPr>
        <w:t>人文学院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050100</w:t>
      </w:r>
      <w:r>
        <w:rPr>
          <w:rFonts w:ascii="Times New Roman" w:hAnsi="Times New Roman" w:eastAsia="Times New Roman" w:cs="Times New Roman"/>
          <w:b/>
          <w:color w:val="FF0000"/>
          <w:sz w:val="24"/>
          <w:u w:val="none"/>
        </w:rPr>
        <w:t>中国语言文学</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人文学院中国语言文学学科是浙江省一流学科，设有浙江省高校人文社会科学重点研究基地，与新闻传播学一级学科联合自主设置有“文化传播与媒介管理”二级学科博士点，有1个国家特色专业、1支国家教学团队、1门国家精品课程、1门国家精品资源共享课程、1个省重点学科和1个省级实验教学示范中心，教学和科研实力强劲。</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师资雄厚，现有教师39人，教授19人、副教授16人，具有博士学位的教师33人。其中国家级教学名师1名、全国优秀教师1名、享受政府特殊津贴人员2名、国家教学指导委员会委员1名、浙江省特级专家2名、浙江省教学指导委员会主任委员2名。</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近年来，学科教师在《中国社会科学》、《文学评论》等学术刊物发表论文300余篇，在商务印书馆、中国社会科学出版社等出版学术专著34部，主持承担国家社会科学基金、国家教育部、浙江省社科规划重点和一般等项目41项，获国家优秀教学成果二等奖、浙江省优秀教学成果一等奖、浙江省社科优秀成果奖等近20项。</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010</w:t>
      </w:r>
      <w:r>
        <w:rPr>
          <w:rFonts w:ascii="Cambria" w:hAnsi="Cambria" w:eastAsia="Cambria" w:cs="Cambria"/>
          <w:b/>
          <w:color w:val="auto"/>
          <w:sz w:val="24"/>
          <w:u w:val="none"/>
        </w:rPr>
        <w:t>人文学院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050300</w:t>
      </w:r>
      <w:r>
        <w:rPr>
          <w:rFonts w:ascii="Times New Roman" w:hAnsi="Times New Roman" w:eastAsia="Times New Roman" w:cs="Times New Roman"/>
          <w:b/>
          <w:color w:val="FF0000"/>
          <w:sz w:val="24"/>
          <w:u w:val="none"/>
        </w:rPr>
        <w:t>新闻传播学</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新闻传播学一级学科是浙江省重点学科，它与中国语言文学一级学科联合自主设置有“文化传播与媒介管理”二级学科博士点，新闻传播学一级学科硕士点是浙江省属高校首个新闻传播学学位点，现有教授7名、副教授13名、博士（后）和在读博士15名，其中多人曾赴美、英、加、澳等世界名校访学或学术交流。导师中有浙江省传播学会副会长、浙江省公共关系协会副会长、浙江省哲学社会科学“十一五”“十二五”学科组专家、浙江省高校中青年学科带头人、浙江省“151”人才等多名。另有美国密苏里新闻学院、加拿大西门菲沙大学、中国传媒大学、浙江大学等校聘客座/兼职教授多名。</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位点已与国内6家传媒与公关机构建立研究生教学实习基地，聘请业界导师20名。新闻传播学硕士点有多名毕业生考入复旦大学、中国传媒大学、中国社会科学院、武汉大学等名校攻读博士学位；有多名在读生赴美国、日本、台湾交流学习。一大批毕业生进入高等院校或传媒/公关机构工作。</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010</w:t>
      </w:r>
      <w:r>
        <w:rPr>
          <w:rFonts w:ascii="Cambria" w:hAnsi="Cambria" w:eastAsia="Cambria" w:cs="Cambria"/>
          <w:b/>
          <w:color w:val="auto"/>
          <w:sz w:val="24"/>
          <w:u w:val="none"/>
        </w:rPr>
        <w:t>人文学院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055200</w:t>
      </w:r>
      <w:r>
        <w:rPr>
          <w:rFonts w:ascii="Times New Roman" w:hAnsi="Times New Roman" w:eastAsia="Times New Roman" w:cs="Times New Roman"/>
          <w:b/>
          <w:color w:val="FF0000"/>
          <w:sz w:val="24"/>
          <w:u w:val="none"/>
        </w:rPr>
        <w:t>新闻与传播</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新闻传播学一级学科是浙江省重点学科，新闻与传播硕士专业学位点名列浙江省属高校前茅。现有教授7名、副教授13名、博士（后）和在读博士15名，其中多人曾赴美、英、加、澳等世界名校访学或学术交流。导师中有浙江省传播学会副会长、浙江省公共关系协会副会长、浙江省哲学社会科学“十一五”“十二五”学科组专家、浙江省高校中青年学科带头人、浙江省“151”人才等多名。另有美国密苏里新闻学院、加拿大西门菲沙大学、中国传媒大学、浙江大学等校聘客座/兼职教授多名。</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学位点已与国内6家传媒与公关机构建立研究生实践教学实习基地，聘请新闻传媒、广告等业界导师20名，为高级专业人才培养提供了优良的教学条件保障。</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新闻传播学硕士点有多名毕业生考入复旦大学、中国传媒大学、中国社会科学院、武汉大学、西北工业大学、上海大学、中国美术学院等名校攻读博士学位；有多名在读生赴美国、日本、台湾交流学习。一大批毕业生进入高等院校或传媒/公关机构工作。</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011</w:t>
      </w:r>
      <w:r>
        <w:rPr>
          <w:rFonts w:ascii="Cambria" w:hAnsi="Cambria" w:eastAsia="Cambria" w:cs="Cambria"/>
          <w:b/>
          <w:color w:val="auto"/>
          <w:sz w:val="24"/>
          <w:u w:val="none"/>
        </w:rPr>
        <w:t>政治与公共管理学院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120400</w:t>
      </w:r>
      <w:r>
        <w:rPr>
          <w:rFonts w:ascii="Times New Roman" w:hAnsi="Times New Roman" w:eastAsia="Times New Roman" w:cs="Times New Roman"/>
          <w:b/>
          <w:color w:val="FF0000"/>
          <w:sz w:val="24"/>
          <w:u w:val="none"/>
        </w:rPr>
        <w:t>公共管理</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公共管理一级学科下设行政管理、公共政策分析和教育经济与管理等研究方向，设有教育经济与管理研究所、现代大学制度研究中心、绿色低碳发展研究中心、社会保障与社会政策研究所、公共政策与地方治理创新研究中心、社区发展与公共政府研究所、区域发展研究所、终身教育研究所等研究机构。学位点学术力量雄厚，有研究生指导教师38人，其中博士生导师3人，教授12人，具有博士学位的21人，其中国家万人计划青年拔尖人才、浙江省钱江学者特聘教授、浙江省千人计划入选人员1名；浙江省“151人才工程”入选人7人。学位点科学研究成果丰富，近五年来，出版专著、译著、教材等30多部，发表学术论文500多篇，其中在《Energy Policy》等SSCI检索期刊、《管理世界》、《社会学研究》、《光明日报》、《教育研究》、《中国社会科学文摘》等期刊论文多篇。学位点先后主持教育部哲学社会科学研究重大课题攻关招标项目、国家社会科学基金、国家自然科学基金、国家软科学研究计划、教育部人文社会科学项目、国家发改委重大课题、中国科协重大课题等国家级课题30余项，主持省哲学社科规划重大招标、省自然科学基金重点课题、省发改委重大课题、省长课题等省部级课题50余项，在研各类课题40余项。科研获奖10余项，其中教育部高等学校科学研究优秀成果奖（人文社会科学）3项，其他省部级奖9项。学位点科研经费充足，年均科研经费达200多万元；研究条件较好，拥有专业实验室1个，图书2万余册，期刊杂志60多种。</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011</w:t>
      </w:r>
      <w:r>
        <w:rPr>
          <w:rFonts w:ascii="Cambria" w:hAnsi="Cambria" w:eastAsia="Cambria" w:cs="Cambria"/>
          <w:b/>
          <w:color w:val="auto"/>
          <w:sz w:val="24"/>
          <w:u w:val="none"/>
        </w:rPr>
        <w:t>政治与公共管理学院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125200</w:t>
      </w:r>
      <w:r>
        <w:rPr>
          <w:rFonts w:ascii="Times New Roman" w:hAnsi="Times New Roman" w:eastAsia="Times New Roman" w:cs="Times New Roman"/>
          <w:b/>
          <w:color w:val="FF0000"/>
          <w:sz w:val="24"/>
          <w:u w:val="none"/>
        </w:rPr>
        <w:t>公共管理(MPA）</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公共管理硕士（MPA）秉承“厚徳健行”的校训，坚持政治与公共管理学院“以政厚德，为公健行”办学理念，以“天下为公”的思想，高标准、严要求、培养新一代的具有社会主义政治素养、专业精神和为民服务思想的公共管理人才，形成区域特色鲜明、办学质量高、综合实力强、学生满意度高的公共管理（MPA）专业硕士培养和教育体系，在全省“走在前列”。学科师资力量雄厚，有研究生指导教师40余人，其中博士生导师6人，教授18人，具有博士学位的31人，拥有国家万人计划青年拔尖人才、百千万人才国家级人选，以及浙江省千人计划、浙江省钱江学者特聘教授、浙江省151人才等各类国家级和省部级人才近20余人次。教师均有丰富的理论和实践经验，承接大量的国家级、省部级课题并与政府有长期的合作经验。近年来，承担国家级项目20多项，其中国家社科重大项目1项（作为合作单位），教育部哲学社会科学研究重大课题攻关招标项目3项、国家社科基金重点项目2项，省部级项目50余项目，在Energy Policy、IJTM等SSCI期刊及《管理世界》、《社会学研究》、《教育研究》、《新华文摘》、《中国社会科学文摘》等期刊发表权威论文10余篇，出版专著与教材30余部，获得国家级领导人和浙江省委省政府领导批示30多件。学校同时还聘请各级政府学者型高管及国内外知名院校的教授担任MPA任课教师和导师，增强学员的理论知识和实践能力。我校先后与省发改委、省规划研究院、省工业和信息化研究院等10多个政府部门建设了长期稳定的实践基地，为开展MPA教育和培养奠定了基础。我校MPA将为各位学员拓展人脉、获取信息、整合资源、促进事业发展提供广阔的平台。</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012</w:t>
      </w:r>
      <w:r>
        <w:rPr>
          <w:rFonts w:ascii="Cambria" w:hAnsi="Cambria" w:eastAsia="Cambria" w:cs="Cambria"/>
          <w:b/>
          <w:color w:val="auto"/>
          <w:sz w:val="24"/>
          <w:u w:val="none"/>
        </w:rPr>
        <w:t>教育科学与技术学院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040100</w:t>
      </w:r>
      <w:r>
        <w:rPr>
          <w:rFonts w:ascii="Times New Roman" w:hAnsi="Times New Roman" w:eastAsia="Times New Roman" w:cs="Times New Roman"/>
          <w:b/>
          <w:color w:val="FF0000"/>
          <w:sz w:val="24"/>
          <w:u w:val="none"/>
        </w:rPr>
        <w:t>教育学</w:t>
      </w:r>
    </w:p>
    <w:p>
      <w:pPr>
        <w:jc w:val="left"/>
        <w:rPr>
          <w:rFonts w:ascii="仿宋" w:hAnsi="仿宋" w:eastAsia="仿宋"/>
          <w:b/>
          <w:sz w:val="24"/>
          <w:szCs w:val="24"/>
        </w:rPr>
      </w:pPr>
      <w:r>
        <w:rPr>
          <w:rFonts w:hint="eastAsia" w:ascii="仿宋" w:hAnsi="仿宋" w:eastAsia="仿宋"/>
          <w:b/>
          <w:sz w:val="24"/>
          <w:szCs w:val="24"/>
          <w:lang w:val="en-US" w:eastAsia="zh-CN"/>
        </w:rPr>
        <w:t xml:space="preserve">    本学位点面向中国教育现代化2035，以职业技术教育学为核心，着力体现技术课程与教学论、高等教育学（高等工程教育、高等职业教育）、职业教育心理学学科特色，培养新时代职业教育、普通教育创新型研究人才或教育实践工作者。</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学位点依托“十二五”浙江省重点学科和“十三五”浙江省一流建设学科，是教育部首批卓越教师人才培养计划单位。学位点师资力量雄厚，有教授10人，副教授25人， 5人入选浙江省151人才工程，10人入选校学术带头人，10人入选级青年学术骨干，90%教师具有博士学位和国际访学与留学经历。学位点人才培养实力强，拥有国家级精品资源共享课程和视频公开课程3门，在建浙江省精品在线开放课程6门，获得国家教学成果二等奖和浙江省教学成果一等奖。学位点科研成果突出，承担国家社科基金、国家自然科学基金、全国教育科学课题等国家及省部课题100余项，发表论文500余篇，出版专著、教材20余部。核心成员人人有国家社科基金项目，多次荣获高等学校优秀科研成果奖、全国教育科学研究优秀成果奖、浙江省哲学社会科学优秀成果奖。</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012</w:t>
      </w:r>
      <w:r>
        <w:rPr>
          <w:rFonts w:ascii="Cambria" w:hAnsi="Cambria" w:eastAsia="Cambria" w:cs="Cambria"/>
          <w:b/>
          <w:color w:val="auto"/>
          <w:sz w:val="24"/>
          <w:u w:val="none"/>
        </w:rPr>
        <w:t>教育科学与技术学院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045400</w:t>
      </w:r>
      <w:r>
        <w:rPr>
          <w:rFonts w:ascii="Times New Roman" w:hAnsi="Times New Roman" w:eastAsia="Times New Roman" w:cs="Times New Roman"/>
          <w:b/>
          <w:color w:val="FF0000"/>
          <w:sz w:val="24"/>
          <w:u w:val="none"/>
        </w:rPr>
        <w:t>应用心理</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本专业学位从“和谐社会”发展、“两富浙江”建设以及“幸福中国”创建等宏观需要出发，以“人文关怀”与“心理健康促进”等微观需求为切入点，立足“以人为本”，强化与坚持学科生态化融合、基础研究与社会服务结合、重点突出与协调发展并重等原则，把人的幸福、社会各阶层的人际和谐等作为专业发展重点，从儿童与青少年发展与教育、心理健康与咨询方向两个研究方向进行突破，旨在培养高素质的应用心理学专业人才。</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专业学位点拥有一支年龄结构合理、理论基础扎实、教学经验丰富和科研能力突出的教师队伍。现有教授2人，副教授7人，具有博士学位10人，外聘企事业单位实践导师10名。本学位点教师承担国家社科基金（重大）、国家自然科学基金、全国教育科学课题等国家及省部课题20余项，发表论文100余篇，出版专著、教材10余部，多次荣获省部级科研奖励。本专业学位点已为应用心理学专业硕士研究生的培养搭建起良好的实践基地、教学基础和科研平台。</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012</w:t>
      </w:r>
      <w:r>
        <w:rPr>
          <w:rFonts w:ascii="Cambria" w:hAnsi="Cambria" w:eastAsia="Cambria" w:cs="Cambria"/>
          <w:b/>
          <w:color w:val="auto"/>
          <w:sz w:val="24"/>
          <w:u w:val="none"/>
        </w:rPr>
        <w:t>教育科学与技术学院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078401</w:t>
      </w:r>
      <w:r>
        <w:rPr>
          <w:rFonts w:ascii="Times New Roman" w:hAnsi="Times New Roman" w:eastAsia="Times New Roman" w:cs="Times New Roman"/>
          <w:b/>
          <w:color w:val="FF0000"/>
          <w:sz w:val="24"/>
          <w:u w:val="none"/>
        </w:rPr>
        <w:t>教育技术学</w:t>
      </w:r>
    </w:p>
    <w:p>
      <w:pPr>
        <w:jc w:val="left"/>
        <w:rPr>
          <w:rFonts w:ascii="仿宋" w:hAnsi="仿宋" w:eastAsia="仿宋"/>
          <w:b/>
          <w:sz w:val="24"/>
          <w:szCs w:val="24"/>
        </w:rPr>
      </w:pPr>
      <w:r>
        <w:rPr>
          <w:rFonts w:hint="eastAsia" w:ascii="仿宋" w:hAnsi="仿宋" w:eastAsia="仿宋"/>
          <w:b/>
          <w:sz w:val="24"/>
          <w:szCs w:val="24"/>
          <w:lang w:val="en-US" w:eastAsia="zh-CN"/>
        </w:rPr>
        <w:t xml:space="preserve">    面向智能时代的信息化教育领域，培养具有教育大数据分析、人工智能教育应用、信息技术变革教育和创新教育生态等能力与素养，能在教育技术中心、职业院校、中小学校和教育企业从事信息技术教学、信息技术教育应用与创新等工作，并能成长为该学科高水平学术型创新人才。</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位点是浙江省一流建设学科和重点学科，是教育部首批卓越教师人才培养计划单位。第三方学位学科评估排名，在全国200多所高校稳居前15，本学位点进入全国同类A+行列。学位点师资力量强，教授5名，副教授10名，省“151人才”和省中青年学科带头人6人次，导师具有良好的师德和卓越的教学和科研能力。学位点拥有国家级和省级精品在线开放课程6门，建设有VR&amp;AR教育应用、教育大数据和智能机器人与智创空间等实验室，提供一流的实验装备和学习环境；近5年承担国家自然科学基金和国家社科基金项目10余项，承担省部级课题30余项，课题经费1000余万元，为研究生提供充足的课题研究经费和助研津贴。</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014</w:t>
      </w:r>
      <w:r>
        <w:rPr>
          <w:rFonts w:ascii="Cambria" w:hAnsi="Cambria" w:eastAsia="Cambria" w:cs="Cambria"/>
          <w:b/>
          <w:color w:val="auto"/>
          <w:sz w:val="24"/>
          <w:u w:val="none"/>
        </w:rPr>
        <w:t>法学院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030100</w:t>
      </w:r>
      <w:r>
        <w:rPr>
          <w:rFonts w:ascii="Times New Roman" w:hAnsi="Times New Roman" w:eastAsia="Times New Roman" w:cs="Times New Roman"/>
          <w:b/>
          <w:color w:val="FF0000"/>
          <w:sz w:val="24"/>
          <w:u w:val="none"/>
        </w:rPr>
        <w:t>法学</w:t>
      </w:r>
    </w:p>
    <w:p>
      <w:pPr>
        <w:jc w:val="left"/>
        <w:rPr>
          <w:rFonts w:ascii="仿宋" w:hAnsi="仿宋" w:eastAsia="仿宋"/>
          <w:b/>
          <w:sz w:val="24"/>
          <w:szCs w:val="24"/>
        </w:rPr>
      </w:pPr>
      <w:r>
        <w:rPr>
          <w:rFonts w:hint="eastAsia" w:ascii="仿宋" w:hAnsi="仿宋" w:eastAsia="仿宋"/>
          <w:b/>
          <w:sz w:val="24"/>
          <w:szCs w:val="24"/>
          <w:lang w:val="en-US" w:eastAsia="zh-CN"/>
        </w:rPr>
        <w:t xml:space="preserve">    法学硕士一级学位点主要分诉讼法学（刑事诉讼法学）、民商法学、经济法学、宪法学与行政法学四个主要方向，其中诉讼法学和民商法学为浙江工业大学重点学科，刑法学为浙江省重点学科。学位点师资力量雄厚，专职教师中，法学专业教师在编教授5人，副教授33人,其中博导1人，硕导24人；获博士学位39人，占60%多数教师具有从事检察、审判、行政执法和律师工作经历。近5年来，法学院共获得法学类国家社科规划办、教育部、司法部、省社科规划办等省部级以上纵向科研项目近40项，在法律类权威和核心期刊上发表学术论文130多篇，出版学术专著10多部。在刑事与民事司法改革、知识产权诉讼、刑民交叉研究等领域已形成鲜明的研究特色，在学术界产生了重要影响。</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015</w:t>
      </w:r>
      <w:r>
        <w:rPr>
          <w:rFonts w:ascii="Cambria" w:hAnsi="Cambria" w:eastAsia="Cambria" w:cs="Cambria"/>
          <w:b/>
          <w:color w:val="auto"/>
          <w:sz w:val="24"/>
          <w:u w:val="none"/>
        </w:rPr>
        <w:t>设计艺术学院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130500</w:t>
      </w:r>
      <w:r>
        <w:rPr>
          <w:rFonts w:ascii="Times New Roman" w:hAnsi="Times New Roman" w:eastAsia="Times New Roman" w:cs="Times New Roman"/>
          <w:b/>
          <w:color w:val="FF0000"/>
          <w:sz w:val="24"/>
          <w:u w:val="none"/>
        </w:rPr>
        <w:t>设计学</w:t>
      </w:r>
    </w:p>
    <w:p>
      <w:pPr>
        <w:jc w:val="left"/>
        <w:rPr>
          <w:rFonts w:ascii="仿宋" w:hAnsi="仿宋" w:eastAsia="仿宋"/>
          <w:b/>
          <w:sz w:val="24"/>
          <w:szCs w:val="24"/>
        </w:rPr>
      </w:pPr>
      <w:r>
        <w:rPr>
          <w:rFonts w:hint="eastAsia" w:ascii="仿宋" w:hAnsi="仿宋" w:eastAsia="仿宋"/>
          <w:b/>
          <w:sz w:val="24"/>
          <w:szCs w:val="24"/>
          <w:lang w:val="en-US" w:eastAsia="zh-CN"/>
        </w:rPr>
        <w:t xml:space="preserve">    </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设计艺术学院于2006年申报成功设计艺术学硕士点，2009年申报成功设计艺术学省重点学科，2011年申报成功设计学一级硕士点。现有教授12人、副教授33人、硕士生导师34人、博士32人。近三年承担国家社科基金艺术学项目、国家社科基金、国家自然基金、国家艺术基金、教育部、省社科等重大科研20余项，在CSSCI及以上期刊发表论文30余篇，并出版专著、教材10余部，第11届、12届全国美展入选作品11项，科研经费三年累计到款突破3000万元。</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科坚持以工科背景下的“艺术+设计+工程”复合型创新人才培养为特色，培养具备中国文化底蕴和国际视野、拥有扎实理论功底和创新设计能力、适应区域经济发展需求、胜任设计学学科及相关领域的理论研究型、设计创意型、工程管理型等高级精英人才。主要研究方向有：设计理论研究、工业设计研究、环境设计研究、公共空间艺术研究、视觉传达与媒体设计研究等多个重点研究方向。</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015</w:t>
      </w:r>
      <w:r>
        <w:rPr>
          <w:rFonts w:ascii="Cambria" w:hAnsi="Cambria" w:eastAsia="Cambria" w:cs="Cambria"/>
          <w:b/>
          <w:color w:val="auto"/>
          <w:sz w:val="24"/>
          <w:u w:val="none"/>
        </w:rPr>
        <w:t>设计艺术学院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135108</w:t>
      </w:r>
      <w:r>
        <w:rPr>
          <w:rFonts w:ascii="Times New Roman" w:hAnsi="Times New Roman" w:eastAsia="Times New Roman" w:cs="Times New Roman"/>
          <w:b/>
          <w:color w:val="FF0000"/>
          <w:sz w:val="24"/>
          <w:u w:val="none"/>
        </w:rPr>
        <w:t>艺术设计</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学院艺术硕士专业学位点2014年获教育部批准，2015年起招收全日制艺术设计专业硕士。学科围绕地方经济和传统文化开展设计，在设计创新实践上富有成果。现有教授12人、副教授33人、硕士生导师31人、博士29人。近三年承担国家社科基金艺术学项目、国家社科基金、国家自然基金、国家艺术基金、教育部、省社科等重大科研20余项，在CSSCI及以上期刊发表论文30余篇，并出版专著、教材10余部，第11届、12届全国美展入选作品11项，科研经费三年累计到款突破3000万元。</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专业旨在培养具备中国文化底蕴和国际视野，拥有出色的创新设计实践能力的高层次复合型人才。掌握设计学科专业的基础知识，同时也需具备在某一研究方向上开拓创新的能力。能够基于原有的设计理论知识结构，在实践与管理方面有更进一步提升的能力。主要研究方向有：工业设计、环境设计、公共空间艺术设计、视觉传达与媒体设计、数字媒体艺术设计等。</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017</w:t>
      </w:r>
      <w:r>
        <w:rPr>
          <w:rFonts w:ascii="Cambria" w:hAnsi="Cambria" w:eastAsia="Cambria" w:cs="Cambria"/>
          <w:b/>
          <w:color w:val="auto"/>
          <w:sz w:val="24"/>
          <w:u w:val="none"/>
        </w:rPr>
        <w:t>长三角绿色制药协同创新中心</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086000</w:t>
      </w:r>
      <w:r>
        <w:rPr>
          <w:rFonts w:ascii="Times New Roman" w:hAnsi="Times New Roman" w:eastAsia="Times New Roman" w:cs="Times New Roman"/>
          <w:b/>
          <w:color w:val="FF0000"/>
          <w:sz w:val="24"/>
          <w:u w:val="none"/>
        </w:rPr>
        <w:t>生物与医药</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生物与医药（原制药工程）是以药物的研究、开发、生产、效能分析为主要内容工程技术领域，生物与医药（原制药工程）硕士是与制药工程师相联系的专业性学位，侧重于工程应用。本专业硕士学位点依托于“长三角绿色制药协同创新中心”（国家首批“2011计划”），由浙江工业大学、浙江大学、上海医药工业研究院、药物制剂国家工程研究中心、浙江省医学科学院、浙江省食品药品检验研究院等核心成员单位，美国IPS公司、美国UCI、俄罗斯科学院西伯利亚分院等国际创新力量以及华东医药、浙江医药、海正药业、华海药业、仙琚制药等一批制药龙头企业共同支撑。</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拥有国家化学原料药合成工程技术研究中心、绿色化学制药技术与装备教育部重点实验室、绿色化学制药国家地方联合工程实验室、绿色制药浙江省工程实验室、浙江省新药创制科技服务平台等科学研究平台拥有一支学术造诣精深、学术思想活跃、教学经验丰富、敬业爱岗的师资队伍，中心现有成员378人，其中中国科学院院士1人、中国工程院院士4人，长江学者、国家杰出青年基金获得者、浙江省特级专家等高层次领军人才近30人，兼职特聘人员20余人，2011访问学者近20人 。人员队伍的专业背景涵盖了制药工程、药效学、毒理学、药物分析、药剂学等多个学科；1个创新团队入选教育部创新团队，3个创新团队入选浙江省重点科技创新团队。共获国家科学技术奖4项、省部级一等奖15项、浙江省科学技术重大贡献奖1项、授权国家发明专利240项、中国专利优秀奖2项。</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旨在培养既有生物与医药（原制药工程）领域坚实的基础知识，又有广博的绿色化学、生物学、药剂学的专业知识，掌握绿色化学制药工程、生物制药工程技术、现代药剂学和制药环境治理的方法与手段，并具有创新意识和良好的科学素养，能独立担负工程技术和工程管理工作能力，毕业后能够从事绿色、环保的化学制药、生物制药、药物制剂等方面的新药研究、产品开发、生产工艺和药物筛选、鉴定、药品质量监督管理以及药品企业环境治理、企业管理、市场开发等工作的应用型、复合型、创新型高层次制药工程技术与工程管理人才。</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017</w:t>
      </w:r>
      <w:r>
        <w:rPr>
          <w:rFonts w:ascii="Cambria" w:hAnsi="Cambria" w:eastAsia="Cambria" w:cs="Cambria"/>
          <w:b/>
          <w:color w:val="auto"/>
          <w:sz w:val="24"/>
          <w:u w:val="none"/>
        </w:rPr>
        <w:t>长三角绿色制药协同创新中心</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100700</w:t>
      </w:r>
      <w:r>
        <w:rPr>
          <w:rFonts w:ascii="Times New Roman" w:hAnsi="Times New Roman" w:eastAsia="Times New Roman" w:cs="Times New Roman"/>
          <w:b/>
          <w:color w:val="FF0000"/>
          <w:sz w:val="24"/>
          <w:u w:val="none"/>
        </w:rPr>
        <w:t>药学</w:t>
      </w:r>
    </w:p>
    <w:p>
      <w:pPr>
        <w:jc w:val="left"/>
        <w:rPr>
          <w:rFonts w:ascii="仿宋" w:hAnsi="仿宋" w:eastAsia="仿宋"/>
          <w:b/>
          <w:sz w:val="24"/>
          <w:szCs w:val="24"/>
        </w:rPr>
      </w:pPr>
      <w:r>
        <w:rPr>
          <w:rFonts w:hint="eastAsia" w:ascii="仿宋" w:hAnsi="仿宋" w:eastAsia="仿宋"/>
          <w:b/>
          <w:sz w:val="24"/>
          <w:szCs w:val="24"/>
          <w:lang w:val="en-US" w:eastAsia="zh-CN"/>
        </w:rPr>
        <w:t xml:space="preserve">    长三角绿色制药协同创新中心药学一级硕士学位点由药物化学、药剂学、天然药物学、药物分析学、微生物与生化药学、药理学、化学生物学等7个二级学科组成，依托国家首批2011计划——长三角绿色制药协同创新中心和国家“绿色制药学科创新引智基地”（国家111计划），由浙江工业大学、浙江大学、上海医药工业研究院、药物制剂国家工程研究中心、浙江省医学科学院、浙江省食品药品检验研究院等核心成员单位，美国IPS公司、美国UCI、俄罗斯科学院西伯利亚分院等国际创新力量以及华东医药、浙江医药、海正药业、华海药业、仙琚制药等一批制药龙头企业共同支撑。本学位点拥有国家化学原料药合成工程技术研究中心、绿色化学制药技术与装备教育部重点实验室、绿色化学制药国家地方联合工程实验室、绿色制药浙江省工程实验室、浙江省新药创制科技服务平台等科学研究平台。</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中心现有成员378人，其中中国科学院院士1人、中国工程院院士4人，长江学者、国家杰出青年基金获得者、浙江省特级专家等高层次领军人才近30人，兼职特聘人员20余人，2011访问学者近20人 。人员队伍的专业背景涵盖了制药工程、药效学、毒理学、药物分析、药剂学等多个学科；1个创新团队入选教育部创新团队，3个创新团队入选浙江省重点科技创新团队。共获国家科学技术奖4项、省部级一等奖15项、浙江省科学技术重大贡献奖1项、授权国家发明专利240项、中国专利优秀奖2项。</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本学位点旨在培养具有坚实的药学基础理论、宽广的专业知识、创新意识强，能独立承担药学相关前沿科研工作、解决药学相关实际问题和胜任药学相关学科教学等的综合性创新型药学技术人才。</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017</w:t>
      </w:r>
      <w:r>
        <w:rPr>
          <w:rFonts w:ascii="Cambria" w:hAnsi="Cambria" w:eastAsia="Cambria" w:cs="Cambria"/>
          <w:b/>
          <w:color w:val="auto"/>
          <w:sz w:val="24"/>
          <w:u w:val="none"/>
        </w:rPr>
        <w:t>长三角绿色制药协同创新中心</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105500</w:t>
      </w:r>
      <w:r>
        <w:rPr>
          <w:rFonts w:ascii="Times New Roman" w:hAnsi="Times New Roman" w:eastAsia="Times New Roman" w:cs="Times New Roman"/>
          <w:b/>
          <w:color w:val="FF0000"/>
          <w:sz w:val="24"/>
          <w:u w:val="none"/>
        </w:rPr>
        <w:t>药学</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本专业硕士学位点依托于“长三角绿色制药协同创新中心”（国家首批“2011计划”），药学院药物化学博士点和药学一级学术型硕士点，由浙江工业大学、浙江大学、上海医药工业研究院、药物制剂国家工程研究中心、浙江省医学科学院、浙江省食品药品检验研究院等核心成员单位，美国IPS公司、美国UCI、俄罗斯科学院西伯利亚分院等国际创新力量以及华东医药、浙江医药、海正药业、华海药业、仙琚制药等一批制药龙头企业共同支撑。本学位点拥有国家化学原料药合成工程技术研究中心、绿色化学制药技术与装备教育部重点实验室、绿色化学制药国家地方联合工程实验室、绿色制药浙江省工程实验室、浙江省新药创制科技服务平台等科学研究平台。</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拥有一支学术造诣精深、学术思想活跃、教学经验丰富、敬业爱岗的师资队伍，中心现有成员378人，其中中国科学院院士1人、中国工程院院士4人，长江学者、国家杰出青年基金获得者、浙江省特级专家等高层次领军人才近30人，兼职特聘人员20余人，2011访问学者近20人 。人员队伍的专业背景涵盖了制药工程、药效学、毒理学、药物分析、药剂学等多个学科；1个创新团队入选教育部创新团队，3个创新团队入选浙江省重点科技创新团队。共获国家科学技术奖4项、省部级一等奖15项、浙江省科学技术重大贡献奖1项、授权国家发明专利240项、中国专利优秀奖2项。</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旨在培养具有坚实的药学基础理论、宽广的专业知识，具有创新意识，能独立承担新药研制与开发、制药工艺改造、药品质量检测、制药环境治理及药品销售管理等实践应用能力的复合型、应用型和创新型制药领域技术人才。</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018</w:t>
      </w:r>
      <w:r>
        <w:rPr>
          <w:rFonts w:ascii="Cambria" w:hAnsi="Cambria" w:eastAsia="Cambria" w:cs="Cambria"/>
          <w:b/>
          <w:color w:val="auto"/>
          <w:sz w:val="24"/>
          <w:u w:val="none"/>
        </w:rPr>
        <w:t>材料科学与工程学院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080500</w:t>
      </w:r>
      <w:r>
        <w:rPr>
          <w:rFonts w:ascii="Times New Roman" w:hAnsi="Times New Roman" w:eastAsia="Times New Roman" w:cs="Times New Roman"/>
          <w:b/>
          <w:color w:val="FF0000"/>
          <w:sz w:val="24"/>
          <w:u w:val="none"/>
        </w:rPr>
        <w:t>材料科学与工程</w:t>
      </w:r>
    </w:p>
    <w:p>
      <w:pPr>
        <w:jc w:val="left"/>
        <w:rPr>
          <w:rFonts w:ascii="仿宋" w:hAnsi="仿宋" w:eastAsia="仿宋"/>
          <w:b/>
          <w:sz w:val="24"/>
          <w:szCs w:val="24"/>
        </w:rPr>
      </w:pPr>
      <w:r>
        <w:rPr>
          <w:rFonts w:hint="eastAsia" w:ascii="仿宋" w:hAnsi="仿宋" w:eastAsia="仿宋"/>
          <w:b/>
          <w:sz w:val="24"/>
          <w:szCs w:val="24"/>
          <w:lang w:val="en-US" w:eastAsia="zh-CN"/>
        </w:rPr>
        <w:t xml:space="preserve">    本学位点依托浙江工业大学材料科学与工程学科，该学科始建于上世纪70年代，经过40多年建设，已拥有一系列较高层次教学科研平台，建立了完整的“本-硕”人才培养体系，在学术水平、师资队伍、成果转化、平台建设等方面均已取得了显著建设成效。当前本学科ESI全球排名为前0.56%。在《“省重点高校建设计划”浙江工业大学建设发展规划（2015-2020）》中，材料科学与工程学科已列入“重点培育建设进入全国前30%的一级学科计划”和“ESI一流学科（前500名）建设计划”。</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科在高分子材料及先进加工技术、新能源材料与器件、磁电功能材料与器件、金属材料及表面工程4个领域已形成较鲜明的研究特色。已建有一支结构合理、水平较高的师资队伍，拥有国家“千人计划”特聘专家等国家级、省级上人才20余人次。现有硕士生导师40余人，其中60%以上有国外学术经历。近五年，承担和参与了国家科技支撑计划、973计划、863计划等国家和省部级科技项目100余项；在Nature子刊、Adv. Mater.、Chem. Soc. Rev.、Chem. Rev.等领域内国际顶级期刊上发表三大索引论文440余篇，ESI热点论文、高被引论文10余篇；获省部级奖项7项；授权发明专利166项。已建成一系列较高层次的平台，并拥有各类仪器设备价值达5000余万元，为各项科研工作奠定坚实基础。本学位点鼓励研究生积极参加国际学术交流，已与英国、港澳台3个高水平大学已建立了学生联合培养关系，并与美国、新加坡、日本、俄罗斯等国家的科研院所已开展了广泛的科研合作。本学位点毕业生的社会及用人单位认可度较高，研究生一次就业率达98%以上。</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紧密围绕国家经济社会发展和材料行业的需求，以“大材至真、大器至善”的办学理念为指导，培养拥有国际视野，创新思维和实践能力，具备进一步深造的学术基础和独立科研能力，能胜任新材料研究开发或专业技术管理等工作的研究型人才。</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018</w:t>
      </w:r>
      <w:r>
        <w:rPr>
          <w:rFonts w:ascii="Cambria" w:hAnsi="Cambria" w:eastAsia="Cambria" w:cs="Cambria"/>
          <w:b/>
          <w:color w:val="auto"/>
          <w:sz w:val="24"/>
          <w:u w:val="none"/>
        </w:rPr>
        <w:t>材料科学与工程学院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085600</w:t>
      </w:r>
      <w:r>
        <w:rPr>
          <w:rFonts w:ascii="Times New Roman" w:hAnsi="Times New Roman" w:eastAsia="Times New Roman" w:cs="Times New Roman"/>
          <w:b/>
          <w:color w:val="FF0000"/>
          <w:sz w:val="24"/>
          <w:u w:val="none"/>
        </w:rPr>
        <w:t>材料与化工</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材料科学与工程学院的材料与化工专业硕士学位点依托浙江工业大学“材料科学与工程”一级学科。本学科建立在1973年腐蚀与防护本科专业基础上，至今发展成为拥有“本科-硕士-博士”人才培养体系的材料科学与工程学院。现有省部级重点实验室2个，省级国际科技合作基地1个，拥有材料专业精密仪器设备价值约5000万。</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师资队伍结构合理、可持续发展力量强劲，现有国家级、省级人才20余人次，硕士生导师40余人。近五年，承担和参与了国家科技支撑计划、973计划、863计划等国家和省部级科技项目100余项；在Nature子刊、Adv. Mater.、Chem. Soc. Rev.、Chem. Rev.等领域内国际顶级期刊上发表三大索引论文440余篇，ESI热点论文、高被引论文10余篇；获省部级奖项7项；授权发明专利166项。学科ESI排名进入全球0.56%。</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本学位点紧密围绕国家经济社会发展和材料行业的需求，充分发挥学科优势，不断强化产学研方面的协同作用，目标是培养具备较强的行业视野、创新意识、工程意识，能独立从事或承担新材料、新技术和新工艺开发并解决工程问题，能胜任新材料及其相关领域的技术研究开发、项目和工程管理的应用型、复合型高层次工程技术人才。本学位点研究生的培养采用“双导师制”，由校内导师联合校外企业导师共同指导。本学位点现有企业合作导师20余人，均为新材料领域大中型国有企业和高新技术企业的技术高管，与相关企业建立了10余个研究生实践基地，具备为新材料及其相关领域培养技术研究开发、项目和工程管理的高层次、高素质、创新型工程人才的充分条件。</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019</w:t>
      </w:r>
      <w:r>
        <w:rPr>
          <w:rFonts w:ascii="Cambria" w:hAnsi="Cambria" w:eastAsia="Cambria" w:cs="Cambria"/>
          <w:b/>
          <w:color w:val="auto"/>
          <w:sz w:val="24"/>
          <w:u w:val="none"/>
        </w:rPr>
        <w:t>海洋学院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083200</w:t>
      </w:r>
      <w:r>
        <w:rPr>
          <w:rFonts w:ascii="Times New Roman" w:hAnsi="Times New Roman" w:eastAsia="Times New Roman" w:cs="Times New Roman"/>
          <w:b/>
          <w:color w:val="FF0000"/>
          <w:sz w:val="24"/>
          <w:u w:val="none"/>
        </w:rPr>
        <w:t>食品科学与工程</w:t>
      </w:r>
    </w:p>
    <w:p>
      <w:pPr>
        <w:jc w:val="left"/>
        <w:rPr>
          <w:rFonts w:ascii="仿宋" w:hAnsi="仿宋" w:eastAsia="仿宋"/>
          <w:b/>
          <w:sz w:val="24"/>
          <w:szCs w:val="24"/>
        </w:rPr>
      </w:pPr>
      <w:r>
        <w:rPr>
          <w:rFonts w:hint="eastAsia" w:ascii="仿宋" w:hAnsi="仿宋" w:eastAsia="仿宋"/>
          <w:b/>
          <w:sz w:val="24"/>
          <w:szCs w:val="24"/>
          <w:lang w:val="en-US" w:eastAsia="zh-CN"/>
        </w:rPr>
        <w:t xml:space="preserve">    食品科学与工程一级硕士点，下设食品科学、水产品加工与贮藏、农产品加工与贮藏、粮油与植物蛋白工程4个明确的研究方向。学位点依托学科是浙江省重点建设高校重点建设学科。学科科研力量雄厚，拥有一支学历、学缘和年龄梯队良好的队伍，现有教授10人，副教授18人，具有博士学位的教师21人。其中浙江省特级专家1人、“151”第一层次人才1人、第二层次人才3人、省高校中青年学科带头人4人，浙江工业大学以食品学科为主的农业科学学科入选全球ESI前1%。1997年开始招收硕士研究生，已为社会输送了大批优秀人才，受到高校、研究院所、政府部门及企事业用人单位的欢迎，近三年来就业率100%。近5年学科承担各类科研项目150余项，其中国家级项目30项、浙江省重大攻关、重点研发项目20项，其它省部级项目40项，重大校企合作项目等纵横向项目50余项，科研经费3500多万元。发表论文近300篇，其中SCI（EI）收录170余篇，获得国家发明专利110多件；获省部级以上科技进步奖15项。先后与10多家名企组建产学研中心，与美国、加拿大、德国、丹麦等知名大学有着密切的学术交流。</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019</w:t>
      </w:r>
      <w:r>
        <w:rPr>
          <w:rFonts w:ascii="Cambria" w:hAnsi="Cambria" w:eastAsia="Cambria" w:cs="Cambria"/>
          <w:b/>
          <w:color w:val="auto"/>
          <w:sz w:val="24"/>
          <w:u w:val="none"/>
        </w:rPr>
        <w:t>海洋学院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086000</w:t>
      </w:r>
      <w:r>
        <w:rPr>
          <w:rFonts w:ascii="Times New Roman" w:hAnsi="Times New Roman" w:eastAsia="Times New Roman" w:cs="Times New Roman"/>
          <w:b/>
          <w:color w:val="FF0000"/>
          <w:sz w:val="24"/>
          <w:u w:val="none"/>
        </w:rPr>
        <w:t>生物与医药</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食品工程专业硕士点，设有食品资源开发和利用、海洋生物加工工程、食品加工与贮藏、食品清洁生产与综合利用、食品工程设施建设和评价、食品装备技术、食品生物技术7个明确的研究方向。学位点依托学科是浙江省重点建设高校重点建设学科。学科科研力量雄厚，拥有一支学历、学缘和年龄梯队良好的队伍，现有教授10人，副教授18人，具有博士学位的教师21人。其中浙江省特级专家1人、“151”第一层次人才1人、第二层次人才3人、省高校中青年学科带头人4人，浙江工业大学以食品学科为主的农业科学学科入选全球ESI前1%。自2008年开始招收食品工程硕士研究生以来，为社会输送了一批优秀人才，受到高校、研究院所、政府部门及企事业用人单位的欢迎，连续五年一次就业率100%。近5年学科承担各类科研项目150余项，其中国家级项目30项、浙江省重大攻关、重点研发项目20项，其它省部级项目40项，重大校企合作项目等纵横向项目50余项，科研经费3500多万元。发表论文近300篇，其中SCI（EI）收录170余篇，获得国家发明专利110多件；获省部级以上科技进步奖15项。先后与10多家名企组建产学研中心，与美国、加拿大、德国、丹麦等知名大学有着密切的学术交流。</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019</w:t>
      </w:r>
      <w:r>
        <w:rPr>
          <w:rFonts w:ascii="Cambria" w:hAnsi="Cambria" w:eastAsia="Cambria" w:cs="Cambria"/>
          <w:b/>
          <w:color w:val="auto"/>
          <w:sz w:val="24"/>
          <w:u w:val="none"/>
        </w:rPr>
        <w:t>海洋学院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095135</w:t>
      </w:r>
      <w:r>
        <w:rPr>
          <w:rFonts w:ascii="Times New Roman" w:hAnsi="Times New Roman" w:eastAsia="Times New Roman" w:cs="Times New Roman"/>
          <w:b/>
          <w:color w:val="FF0000"/>
          <w:sz w:val="24"/>
          <w:u w:val="none"/>
        </w:rPr>
        <w:t>食品加工与安全</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食品加工与安全专业领域依托学科是浙江省重点建设高校重点建设学科，下设食品快速分析检测、食品营养与功能因子、食品安全评估、农业技术利用与推广、食品品质控制、食品加工与安全技术推广6个研究方向。该领域科研实力雄厚，梯队合理，浙江工业大学以食品学科为主的农业科学学科入选全球ESI前1%，现有教授13人，副教授18人，具有博士学位的教师25人，其中浙江省特级专家2人，“151”人才5人、省高校中青年学科带头人5人。2011年招收农业硕士以来，已为社会输送了一批优秀人才，受到高校、研究院所、政府及企事业用人单位的欢迎，一次就业率100%。近5年学科承担各类科研项目150余项，其中国家级项目30项、浙江省重大攻关、重点研发项目20项，其它省部级项目40项，重大校企合作项目等纵横向项目50余项，科研经费3500多万元。发表论文近300篇，其中SCI（EI）收录170余篇，获得国家发明专利110多件；获省部级以上科技进步奖15项。先后与10多家名企组建产学研中心，与美国、加拿大、德国、丹麦等知名大学有着密切的学术交流。</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023</w:t>
      </w:r>
      <w:r>
        <w:rPr>
          <w:rFonts w:ascii="Cambria" w:hAnsi="Cambria" w:eastAsia="Cambria" w:cs="Cambria"/>
          <w:b/>
          <w:color w:val="auto"/>
          <w:sz w:val="24"/>
          <w:u w:val="none"/>
        </w:rPr>
        <w:t>马克思主义学院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010108</w:t>
      </w:r>
      <w:r>
        <w:rPr>
          <w:rFonts w:ascii="Times New Roman" w:hAnsi="Times New Roman" w:eastAsia="Times New Roman" w:cs="Times New Roman"/>
          <w:b/>
          <w:color w:val="FF0000"/>
          <w:sz w:val="24"/>
          <w:u w:val="none"/>
        </w:rPr>
        <w:t>科学技术哲学</w:t>
      </w:r>
    </w:p>
    <w:p>
      <w:pPr>
        <w:jc w:val="left"/>
        <w:rPr>
          <w:rFonts w:ascii="仿宋" w:hAnsi="仿宋" w:eastAsia="仿宋"/>
          <w:b/>
          <w:sz w:val="24"/>
          <w:szCs w:val="24"/>
        </w:rPr>
      </w:pPr>
      <w:r>
        <w:rPr>
          <w:rFonts w:hint="eastAsia" w:ascii="仿宋" w:hAnsi="仿宋" w:eastAsia="仿宋"/>
          <w:b/>
          <w:sz w:val="24"/>
          <w:szCs w:val="24"/>
          <w:lang w:val="en-US" w:eastAsia="zh-CN"/>
        </w:rPr>
        <w:t xml:space="preserve">    科学技术哲学学科现有教师8人，其中教授1人，副教授5人，具有博士学位的教师6人。近五年来，共承担各类科研项目30余项，其中包括国家社会科学基金项目、教育部人文社会科学项目、省哲学社会科学规划重点项目和一般项目等。出版专著、译著、教材等12部，发表学术论文100多篇。在科学哲学和技术哲学、资源环境管理研究、科学社会学研究、科技管理与科技政策等方面形成了优势和特色。</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023</w:t>
      </w:r>
      <w:r>
        <w:rPr>
          <w:rFonts w:ascii="Cambria" w:hAnsi="Cambria" w:eastAsia="Cambria" w:cs="Cambria"/>
          <w:b/>
          <w:color w:val="auto"/>
          <w:sz w:val="24"/>
          <w:u w:val="none"/>
        </w:rPr>
        <w:t>马克思主义学院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030500</w:t>
      </w:r>
      <w:r>
        <w:rPr>
          <w:rFonts w:ascii="Times New Roman" w:hAnsi="Times New Roman" w:eastAsia="Times New Roman" w:cs="Times New Roman"/>
          <w:b/>
          <w:color w:val="FF0000"/>
          <w:sz w:val="24"/>
          <w:u w:val="none"/>
        </w:rPr>
        <w:t>马克思主义理论</w:t>
      </w:r>
    </w:p>
    <w:p>
      <w:pPr>
        <w:jc w:val="left"/>
        <w:rPr>
          <w:rFonts w:ascii="仿宋" w:hAnsi="仿宋" w:eastAsia="仿宋"/>
          <w:b/>
          <w:sz w:val="24"/>
          <w:szCs w:val="24"/>
        </w:rPr>
      </w:pPr>
      <w:r>
        <w:rPr>
          <w:rFonts w:hint="eastAsia" w:ascii="仿宋" w:hAnsi="仿宋" w:eastAsia="仿宋"/>
          <w:b/>
          <w:sz w:val="24"/>
          <w:szCs w:val="24"/>
          <w:lang w:val="en-US" w:eastAsia="zh-CN"/>
        </w:rPr>
        <w:t xml:space="preserve">    马克思主义理论具有硕士学位授予权,学科带头人邢乐勤教授。学科下设马克思主义中国化、思想政治教育、马克思主义基本原理、中国近现代史基本问题研究四个研究方向。学科除负责马克思主义理论硕士研究生的培养以外，还承担着全校博士、硕士研究生及本科的思想政治理论教育课的教学任务。本学科为校级重点学科，拥有一支年龄、职称、学历结构较为合理的学术梯队。其中有教授13人，副教授16人，90%以上教师具有博士学位。近年来在国家级、省级学术刊物发表论文100多篇，出版著作、教材30多部，承担国家级课题13、项（其中重大课题1项，重点课题1项）、省级各类课题30余项，获国家级及省部级奖6项。</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024</w:t>
      </w:r>
      <w:r>
        <w:rPr>
          <w:rFonts w:ascii="Cambria" w:hAnsi="Cambria" w:eastAsia="Cambria" w:cs="Cambria"/>
          <w:b/>
          <w:color w:val="auto"/>
          <w:sz w:val="24"/>
          <w:u w:val="none"/>
        </w:rPr>
        <w:t>环境学院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083000</w:t>
      </w:r>
      <w:r>
        <w:rPr>
          <w:rFonts w:ascii="Times New Roman" w:hAnsi="Times New Roman" w:eastAsia="Times New Roman" w:cs="Times New Roman"/>
          <w:b/>
          <w:color w:val="FF0000"/>
          <w:sz w:val="24"/>
          <w:u w:val="none"/>
        </w:rPr>
        <w:t>环境科学与工程</w:t>
      </w:r>
    </w:p>
    <w:p>
      <w:pPr>
        <w:jc w:val="left"/>
        <w:rPr>
          <w:rFonts w:ascii="仿宋" w:hAnsi="仿宋" w:eastAsia="仿宋"/>
          <w:b/>
          <w:sz w:val="24"/>
          <w:szCs w:val="24"/>
        </w:rPr>
      </w:pPr>
      <w:r>
        <w:rPr>
          <w:rFonts w:hint="eastAsia" w:ascii="仿宋" w:hAnsi="仿宋" w:eastAsia="仿宋"/>
          <w:b/>
          <w:sz w:val="24"/>
          <w:szCs w:val="24"/>
          <w:lang w:val="en-US" w:eastAsia="zh-CN"/>
        </w:rPr>
        <w:t xml:space="preserve">    环境工程硕士点依托于环境学院环境科学与工程一级学科。该学科是浙江省“重中之重”学科和浙江省一流学科（A类），具有一级学科博士点和博士后流动站，拥有教育部工程研究中心、国家级环境工程专业创新人才培养模式实验区等高层次研究平台。</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院现有专职教师70余人，其中教授28人、副教授20人，专任教师90%以上具有博士学位。拥有教育部创新团队、“新世纪百千万人才工程”国家级人选、“新世纪优秀人才支持计划”、国家青年千人、中科院“百人计划”等高层次学术技术带头人和骨干。近年来，学位点共承担国家级科研项目110余项；科研到款1.2亿余元，其中纵向科研到款6500多万元。发表SCI论文400余篇；授权发明专利80余项；获浙江省科学技术一等奖2项，中国石油和化学工业联合会技术发明奖一等奖3项，高等学校科学研究优秀成果奖二等奖2项。本专业与美国、德国、日本、加拿大、澳大利亚、西班牙、比利时等国外知名高校建立了密切的合作关系。</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024</w:t>
      </w:r>
      <w:r>
        <w:rPr>
          <w:rFonts w:ascii="Cambria" w:hAnsi="Cambria" w:eastAsia="Cambria" w:cs="Cambria"/>
          <w:b/>
          <w:color w:val="auto"/>
          <w:sz w:val="24"/>
          <w:u w:val="none"/>
        </w:rPr>
        <w:t>环境学院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085700</w:t>
      </w:r>
      <w:r>
        <w:rPr>
          <w:rFonts w:ascii="Times New Roman" w:hAnsi="Times New Roman" w:eastAsia="Times New Roman" w:cs="Times New Roman"/>
          <w:b/>
          <w:color w:val="FF0000"/>
          <w:sz w:val="24"/>
          <w:u w:val="none"/>
        </w:rPr>
        <w:t>资源与环境</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资源与环境硕士点依托于环境学院环境科学与工程一级学科。该学科是浙江省“重中之重”学科和浙江省一流学科（A类），具有一级学科博士点和博士后流动站，拥有教育部工程研究中心、国家级环境工程专业创新人才培养模式实验区等高层次研究平台。</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学院现有专职教师70余人，其中教授28人、副教授20人，专任教师90%以上具有博士学位。拥有教育部创新团队、“新世纪百千万人才工程”国家级人选、“新世纪优秀人才支持计划”、国家青年千人、中科院“百人计划”等高层次学术技术带头人和骨干。近年来，学位点共承担国家级科研项目110余项；科研到款1.2亿余元，其中纵向科研到款6500多万元。发表SCI论文400余篇；授权发明专利80余项；获浙江省科学技术一等奖2项，中国石油和化学工业联合会技术发明奖一等奖3项，高等学校科学研究优秀成果奖二等奖2项。本专业与美国、德国、日本、加拿大、澳大利亚、西班牙、比利时等国外知名高校建立了密切的合作关系。</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025</w:t>
      </w:r>
      <w:r>
        <w:rPr>
          <w:rFonts w:ascii="Cambria" w:hAnsi="Cambria" w:eastAsia="Cambria" w:cs="Cambria"/>
          <w:b/>
          <w:color w:val="auto"/>
          <w:sz w:val="24"/>
          <w:u w:val="none"/>
        </w:rPr>
        <w:t>经济学院</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020200</w:t>
      </w:r>
      <w:r>
        <w:rPr>
          <w:rFonts w:ascii="Times New Roman" w:hAnsi="Times New Roman" w:eastAsia="Times New Roman" w:cs="Times New Roman"/>
          <w:b/>
          <w:color w:val="FF0000"/>
          <w:sz w:val="24"/>
          <w:u w:val="none"/>
        </w:rPr>
        <w:t>应用经济学</w:t>
      </w:r>
    </w:p>
    <w:p>
      <w:pPr>
        <w:jc w:val="left"/>
        <w:rPr>
          <w:rFonts w:ascii="仿宋" w:hAnsi="仿宋" w:eastAsia="仿宋"/>
          <w:b/>
          <w:sz w:val="24"/>
          <w:szCs w:val="24"/>
        </w:rPr>
      </w:pPr>
      <w:r>
        <w:rPr>
          <w:rFonts w:hint="eastAsia" w:ascii="仿宋" w:hAnsi="仿宋" w:eastAsia="仿宋"/>
          <w:b/>
          <w:sz w:val="24"/>
          <w:szCs w:val="24"/>
          <w:lang w:val="en-US" w:eastAsia="zh-CN"/>
        </w:rPr>
        <w:t xml:space="preserve">    应用经济学学位点，依托应用经济学一级学科博士学位点、浙江省一流学科（A类）、国家一类特色专业、省重点创新团队（文化创新类）、省新型高校智库等平台，在国际贸易与国际直接投资、民营跨国公司、产业发展与城镇化、金融周期与经济政策、国际区域经济合作、“一带一路”农产品贸易等研究方向形成鲜明特色优势，是浙江省应用经济学领域重要的人才培养和科学研究基地。</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2013—2018年，新增国家社会科学基金重大项目3项、重点项目2项，国家级项目25项，省部级项目45项；获国家级成果奖1项，省级成果奖5项；15份研究报告获省部级领导批示；在《经济研究》、《管理世界》等期刊发表论著200余篇。</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现有教授12人，博士生导师12人，硕士生导师32人。入选国家“万人计划”教学名师、国家级教学名师、全国教书育人楷模、浙江省特级专家1人；国家“百千万人才工程”第三层次1人；省“151人才工程”重点资助1人；其他省级人才10人。</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099</w:t>
      </w:r>
      <w:r>
        <w:rPr>
          <w:rFonts w:ascii="Cambria" w:hAnsi="Cambria" w:eastAsia="Cambria" w:cs="Cambria"/>
          <w:b/>
          <w:color w:val="auto"/>
          <w:sz w:val="24"/>
          <w:u w:val="none"/>
        </w:rPr>
        <w:t>MBA教育中心</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125100</w:t>
      </w:r>
      <w:r>
        <w:rPr>
          <w:rFonts w:ascii="Times New Roman" w:hAnsi="Times New Roman" w:eastAsia="Times New Roman" w:cs="Times New Roman"/>
          <w:b/>
          <w:color w:val="FF0000"/>
          <w:sz w:val="24"/>
          <w:u w:val="none"/>
        </w:rPr>
        <w:t>工商管理</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工商管理硕士（MBA）始于2003年，2009年通过国务院学位办的MBA项目评估，2016年通过AMBA国际认证（省内第2家，国内第29家），2018年以5年的成绩再次通过AMBA国际认证。MBA项目以“新浙商的摇篮”为办学宗旨，强化“以实践为导向，注重创新创业教育”的特色化发展，培养具有“东方智慧、国际视野、创新思维、社会责任”的商界精英。</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MBA项目师资力量强，任课教师均有丰富的理论和实践经验，承接大量的国家级省部级课题并在众多企业担任顾问，学校同时还聘请跨国企业高管、国内知名院校的教授担任MBA任课教师和导师，并为学员配备具有丰富实践经验的专业人士担任校外导师。</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办学10余年来，MBA项目累计招收各类学生3000余名，遍布省内化工、机械、信息、金融、地产等众多行业，为各级各类企事业单位输送了大量的高素质复合型管理人才，得到社会的高度认可。通过整合理论素养和实践经验兼备的校内外创业师资队伍，开展以创业实践为导向的课程教学，采取围绕创业活动全过程的立体培养方式，培养一批新时期的创业先锋。</w:t>
      </w:r>
      <w:r>
        <w:rPr>
          <w:rFonts w:hint="eastAsia" w:ascii="仿宋" w:hAnsi="仿宋" w:eastAsia="仿宋"/>
          <w:b/>
          <w:sz w:val="24"/>
          <w:szCs w:val="24"/>
          <w:lang w:val="en-US" w:eastAsia="zh-CN"/>
        </w:rPr>
        <w:br w:type="textWrapping"/>
      </w:r>
      <w:r>
        <w:rPr>
          <w:rFonts w:hint="eastAsia" w:ascii="仿宋" w:hAnsi="仿宋" w:eastAsia="仿宋"/>
          <w:b/>
          <w:sz w:val="24"/>
          <w:szCs w:val="24"/>
          <w:lang w:val="en-US" w:eastAsia="zh-CN"/>
        </w:rPr>
        <w:t xml:space="preserve">    MBA项目还非常注重学员的服务，为他们提供职业发展规划，并通过各项活动的开展为广大学员拓展人脉、获取信息、整合资源、促进事业发展提供广阔的平台。</w:t>
      </w:r>
      <w:r>
        <w:rPr>
          <w:rFonts w:hint="eastAsia" w:ascii="仿宋" w:hAnsi="仿宋" w:eastAsia="仿宋"/>
          <w:b/>
          <w:sz w:val="24"/>
          <w:szCs w:val="24"/>
        </w:rPr>
        <w:br w:type="textWrapping"/>
      </w:r>
    </w:p>
    <w:p>
      <w:pPr>
        <w:jc w:val="left"/>
        <w:rPr>
          <w:rFonts w:ascii="仿宋" w:hAnsi="仿宋" w:eastAsia="仿宋"/>
          <w:b/>
          <w:sz w:val="24"/>
          <w:szCs w:val="24"/>
          <w:shd w:val="pct10" w:color="auto" w:fill="FFFFFF"/>
        </w:rPr>
      </w:pPr>
      <w:r>
        <w:rPr>
          <w:rFonts w:hint="eastAsia" w:ascii="Cambria" w:hAnsi="Cambria" w:eastAsia="仿宋"/>
          <w:b/>
          <w:sz w:val="24"/>
          <w:szCs w:val="24"/>
          <w:shd w:val="pct10" w:color="auto" w:fill="FFFFFF"/>
          <w:lang w:val="en-US" w:eastAsia="zh-CN"/>
        </w:rPr>
        <w:t>099</w:t>
      </w:r>
      <w:r>
        <w:rPr>
          <w:rFonts w:ascii="Cambria" w:hAnsi="Cambria" w:eastAsia="Cambria" w:cs="Cambria"/>
          <w:b/>
          <w:color w:val="auto"/>
          <w:sz w:val="24"/>
          <w:u w:val="none"/>
        </w:rPr>
        <w:t>MBA教育中心</w:t>
      </w:r>
    </w:p>
    <w:p>
      <w:pPr>
        <w:jc w:val="left"/>
        <w:rPr>
          <w:rFonts w:ascii="仿宋" w:hAnsi="仿宋" w:eastAsia="仿宋"/>
          <w:b/>
          <w:color w:val="FF0000"/>
          <w:sz w:val="24"/>
          <w:szCs w:val="24"/>
        </w:rPr>
      </w:pPr>
      <w:r>
        <w:rPr>
          <w:rFonts w:hint="eastAsia" w:ascii="Times New Roman" w:hAnsi="Times New Roman" w:eastAsia="仿宋"/>
          <w:b/>
          <w:color w:val="FF0000"/>
          <w:sz w:val="24"/>
          <w:szCs w:val="24"/>
          <w:lang w:val="en-US" w:eastAsia="zh-CN"/>
        </w:rPr>
        <w:t>125601</w:t>
      </w:r>
      <w:r>
        <w:rPr>
          <w:rFonts w:ascii="Times New Roman" w:hAnsi="Times New Roman" w:eastAsia="Times New Roman" w:cs="Times New Roman"/>
          <w:b/>
          <w:color w:val="FF0000"/>
          <w:sz w:val="24"/>
          <w:u w:val="none"/>
        </w:rPr>
        <w:t>工程管理</w:t>
      </w:r>
      <w:r>
        <w:rPr>
          <w:rFonts w:hint="eastAsia" w:ascii="Times New Roman" w:hAnsi="Times New Roman" w:eastAsia="宋体" w:cs="Times New Roman"/>
          <w:b/>
          <w:color w:val="FF0000"/>
          <w:sz w:val="24"/>
          <w:u w:val="none"/>
          <w:lang w:eastAsia="zh-CN"/>
        </w:rPr>
        <w:t>（</w:t>
      </w:r>
      <w:r>
        <w:rPr>
          <w:rFonts w:hint="eastAsia" w:ascii="Times New Roman" w:hAnsi="Times New Roman" w:eastAsia="宋体" w:cs="Times New Roman"/>
          <w:b/>
          <w:color w:val="FF0000"/>
          <w:sz w:val="24"/>
          <w:u w:val="none"/>
          <w:lang w:val="en-US" w:eastAsia="zh-CN"/>
        </w:rPr>
        <w:t>专业学位）</w:t>
      </w:r>
    </w:p>
    <w:p>
      <w:pPr>
        <w:jc w:val="left"/>
        <w:rPr>
          <w:rFonts w:ascii="仿宋" w:hAnsi="仿宋" w:eastAsia="仿宋"/>
          <w:b/>
          <w:sz w:val="24"/>
          <w:szCs w:val="24"/>
        </w:rPr>
      </w:pPr>
      <w:r>
        <w:rPr>
          <w:rFonts w:hint="eastAsia" w:ascii="仿宋" w:hAnsi="仿宋" w:eastAsia="仿宋"/>
          <w:b/>
          <w:sz w:val="24"/>
          <w:szCs w:val="24"/>
          <w:lang w:val="en-US" w:eastAsia="zh-CN"/>
        </w:rPr>
        <w:t xml:space="preserve">    浙江工业大学工程管理硕士(MEM)是面向企业和政府经济管理部门高级工程管理人员的硕士层次的管理教育。浙江工业大学工程管理硕士是培养具有良好的商业道德、具有较强开拓创新能力和领导能力；根据工程管理硕士的国内外发展趋势，系统掌握项目决策、计划、实施、评估等项目全寿命期的复合型、应用型的硕士研究生；具备本领域坚实的理论基础和宽广知识，具有国际工程管理战略理念和总揽全局的决策能力，能够有效推动我国工程领域管理创新与技术发展的高层次复合型技术管理人才。</w:t>
      </w:r>
      <w:r>
        <w:rPr>
          <w:rFonts w:hint="eastAsia" w:ascii="仿宋" w:hAnsi="仿宋" w:eastAsia="仿宋"/>
          <w:b/>
          <w:sz w:val="24"/>
          <w:szCs w:val="24"/>
        </w:rPr>
        <w:br w:type="textWrapp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singleLevel"/>
    <w:tmpl w:val="9239341B"/>
    <w:lvl w:ilvl="0" w:tentative="0">
      <w:start w:val="1"/>
      <w:numFmt w:val="bullet"/>
      <w:lvlText w:val="●"/>
      <w:lvlJc w:val="left"/>
    </w:lvl>
  </w:abstractNum>
  <w:abstractNum w:abstractNumId="1">
    <w:nsid w:val="9C8AC8EF"/>
    <w:multiLevelType w:val="singleLevel"/>
    <w:tmpl w:val="9C8AC8EF"/>
    <w:lvl w:ilvl="0" w:tentative="0">
      <w:start w:val="1"/>
      <w:numFmt w:val="bullet"/>
      <w:lvlText w:val="●"/>
      <w:lvlJc w:val="left"/>
    </w:lvl>
  </w:abstractNum>
  <w:abstractNum w:abstractNumId="2">
    <w:nsid w:val="B5E306ED"/>
    <w:multiLevelType w:val="singleLevel"/>
    <w:tmpl w:val="B5E306ED"/>
    <w:lvl w:ilvl="0" w:tentative="0">
      <w:start w:val="1"/>
      <w:numFmt w:val="bullet"/>
      <w:lvlText w:val="●"/>
      <w:lvlJc w:val="left"/>
    </w:lvl>
  </w:abstractNum>
  <w:abstractNum w:abstractNumId="3">
    <w:nsid w:val="BF205925"/>
    <w:multiLevelType w:val="singleLevel"/>
    <w:tmpl w:val="BF205925"/>
    <w:lvl w:ilvl="0" w:tentative="0">
      <w:start w:val="1"/>
      <w:numFmt w:val="bullet"/>
      <w:lvlText w:val="●"/>
      <w:lvlJc w:val="left"/>
    </w:lvl>
  </w:abstractNum>
  <w:abstractNum w:abstractNumId="4">
    <w:nsid w:val="C8879AEF"/>
    <w:multiLevelType w:val="singleLevel"/>
    <w:tmpl w:val="C8879AEF"/>
    <w:lvl w:ilvl="0" w:tentative="0">
      <w:start w:val="1"/>
      <w:numFmt w:val="bullet"/>
      <w:lvlText w:val="●"/>
      <w:lvlJc w:val="left"/>
    </w:lvl>
  </w:abstractNum>
  <w:abstractNum w:abstractNumId="5">
    <w:nsid w:val="CF092B84"/>
    <w:multiLevelType w:val="singleLevel"/>
    <w:tmpl w:val="CF092B84"/>
    <w:lvl w:ilvl="0" w:tentative="0">
      <w:start w:val="1"/>
      <w:numFmt w:val="bullet"/>
      <w:lvlText w:val="●"/>
      <w:lvlJc w:val="left"/>
    </w:lvl>
  </w:abstractNum>
  <w:abstractNum w:abstractNumId="6">
    <w:nsid w:val="D7F9FE59"/>
    <w:multiLevelType w:val="singleLevel"/>
    <w:tmpl w:val="D7F9FE59"/>
    <w:lvl w:ilvl="0" w:tentative="0">
      <w:start w:val="1"/>
      <w:numFmt w:val="bullet"/>
      <w:lvlText w:val="●"/>
      <w:lvlJc w:val="left"/>
    </w:lvl>
  </w:abstractNum>
  <w:abstractNum w:abstractNumId="7">
    <w:nsid w:val="DCBA6B53"/>
    <w:multiLevelType w:val="singleLevel"/>
    <w:tmpl w:val="DCBA6B53"/>
    <w:lvl w:ilvl="0" w:tentative="0">
      <w:start w:val="1"/>
      <w:numFmt w:val="bullet"/>
      <w:lvlText w:val="●"/>
      <w:lvlJc w:val="left"/>
    </w:lvl>
  </w:abstractNum>
  <w:abstractNum w:abstractNumId="8">
    <w:nsid w:val="F4B5D9F5"/>
    <w:multiLevelType w:val="singleLevel"/>
    <w:tmpl w:val="F4B5D9F5"/>
    <w:lvl w:ilvl="0" w:tentative="0">
      <w:start w:val="1"/>
      <w:numFmt w:val="bullet"/>
      <w:lvlText w:val="●"/>
      <w:lvlJc w:val="left"/>
    </w:lvl>
  </w:abstractNum>
  <w:abstractNum w:abstractNumId="9">
    <w:nsid w:val="0053208E"/>
    <w:multiLevelType w:val="singleLevel"/>
    <w:tmpl w:val="0053208E"/>
    <w:lvl w:ilvl="0" w:tentative="0">
      <w:start w:val="1"/>
      <w:numFmt w:val="bullet"/>
      <w:lvlText w:val="●"/>
      <w:lvlJc w:val="left"/>
    </w:lvl>
  </w:abstractNum>
  <w:abstractNum w:abstractNumId="10">
    <w:nsid w:val="0248C179"/>
    <w:multiLevelType w:val="singleLevel"/>
    <w:tmpl w:val="0248C179"/>
    <w:lvl w:ilvl="0" w:tentative="0">
      <w:start w:val="1"/>
      <w:numFmt w:val="bullet"/>
      <w:lvlText w:val="●"/>
      <w:lvlJc w:val="left"/>
    </w:lvl>
  </w:abstractNum>
  <w:abstractNum w:abstractNumId="11">
    <w:nsid w:val="03D62ECE"/>
    <w:multiLevelType w:val="singleLevel"/>
    <w:tmpl w:val="03D62ECE"/>
    <w:lvl w:ilvl="0" w:tentative="0">
      <w:start w:val="1"/>
      <w:numFmt w:val="bullet"/>
      <w:lvlText w:val="●"/>
      <w:lvlJc w:val="left"/>
    </w:lvl>
  </w:abstractNum>
  <w:abstractNum w:abstractNumId="12">
    <w:nsid w:val="2470EC97"/>
    <w:multiLevelType w:val="singleLevel"/>
    <w:tmpl w:val="2470EC97"/>
    <w:lvl w:ilvl="0" w:tentative="0">
      <w:start w:val="1"/>
      <w:numFmt w:val="bullet"/>
      <w:lvlText w:val="●"/>
      <w:lvlJc w:val="left"/>
    </w:lvl>
  </w:abstractNum>
  <w:abstractNum w:abstractNumId="13">
    <w:nsid w:val="25B654F3"/>
    <w:multiLevelType w:val="singleLevel"/>
    <w:tmpl w:val="25B654F3"/>
    <w:lvl w:ilvl="0" w:tentative="0">
      <w:start w:val="1"/>
      <w:numFmt w:val="bullet"/>
      <w:lvlText w:val="●"/>
      <w:lvlJc w:val="left"/>
    </w:lvl>
  </w:abstractNum>
  <w:abstractNum w:abstractNumId="14">
    <w:nsid w:val="2A8F537B"/>
    <w:multiLevelType w:val="singleLevel"/>
    <w:tmpl w:val="2A8F537B"/>
    <w:lvl w:ilvl="0" w:tentative="0">
      <w:start w:val="1"/>
      <w:numFmt w:val="bullet"/>
      <w:lvlText w:val="●"/>
      <w:lvlJc w:val="left"/>
    </w:lvl>
  </w:abstractNum>
  <w:abstractNum w:abstractNumId="15">
    <w:nsid w:val="4C1BAE26"/>
    <w:multiLevelType w:val="singleLevel"/>
    <w:tmpl w:val="4C1BAE26"/>
    <w:lvl w:ilvl="0" w:tentative="0">
      <w:start w:val="1"/>
      <w:numFmt w:val="bullet"/>
      <w:lvlText w:val="●"/>
      <w:lvlJc w:val="left"/>
    </w:lvl>
  </w:abstractNum>
  <w:abstractNum w:abstractNumId="16">
    <w:nsid w:val="4D4DC07F"/>
    <w:multiLevelType w:val="singleLevel"/>
    <w:tmpl w:val="4D4DC07F"/>
    <w:lvl w:ilvl="0" w:tentative="0">
      <w:start w:val="1"/>
      <w:numFmt w:val="bullet"/>
      <w:lvlText w:val="●"/>
      <w:lvlJc w:val="left"/>
    </w:lvl>
  </w:abstractNum>
  <w:abstractNum w:abstractNumId="17">
    <w:nsid w:val="59ADCABA"/>
    <w:multiLevelType w:val="singleLevel"/>
    <w:tmpl w:val="59ADCABA"/>
    <w:lvl w:ilvl="0" w:tentative="0">
      <w:start w:val="1"/>
      <w:numFmt w:val="bullet"/>
      <w:lvlText w:val="●"/>
      <w:lvlJc w:val="left"/>
    </w:lvl>
  </w:abstractNum>
  <w:abstractNum w:abstractNumId="18">
    <w:nsid w:val="5A241D34"/>
    <w:multiLevelType w:val="singleLevel"/>
    <w:tmpl w:val="5A241D34"/>
    <w:lvl w:ilvl="0" w:tentative="0">
      <w:start w:val="1"/>
      <w:numFmt w:val="bullet"/>
      <w:lvlText w:val="●"/>
      <w:lvlJc w:val="left"/>
    </w:lvl>
  </w:abstractNum>
  <w:abstractNum w:abstractNumId="19">
    <w:nsid w:val="60382F6E"/>
    <w:multiLevelType w:val="singleLevel"/>
    <w:tmpl w:val="60382F6E"/>
    <w:lvl w:ilvl="0" w:tentative="0">
      <w:start w:val="1"/>
      <w:numFmt w:val="bullet"/>
      <w:lvlText w:val="●"/>
      <w:lvlJc w:val="left"/>
    </w:lvl>
  </w:abstractNum>
  <w:abstractNum w:abstractNumId="20">
    <w:nsid w:val="72183CF9"/>
    <w:multiLevelType w:val="singleLevel"/>
    <w:tmpl w:val="72183CF9"/>
    <w:lvl w:ilvl="0" w:tentative="0">
      <w:start w:val="1"/>
      <w:numFmt w:val="bullet"/>
      <w:lvlText w:val="●"/>
      <w:lvlJc w:val="left"/>
    </w:lvl>
  </w:abstractNum>
  <w:num w:numId="1">
    <w:abstractNumId w:val="9"/>
  </w:num>
  <w:num w:numId="2">
    <w:abstractNumId w:val="5"/>
  </w:num>
  <w:num w:numId="3">
    <w:abstractNumId w:val="17"/>
  </w:num>
  <w:num w:numId="4">
    <w:abstractNumId w:val="3"/>
  </w:num>
  <w:num w:numId="5">
    <w:abstractNumId w:val="2"/>
  </w:num>
  <w:num w:numId="6">
    <w:abstractNumId w:val="11"/>
  </w:num>
  <w:num w:numId="7">
    <w:abstractNumId w:val="13"/>
  </w:num>
  <w:num w:numId="8">
    <w:abstractNumId w:val="20"/>
  </w:num>
  <w:num w:numId="9">
    <w:abstractNumId w:val="10"/>
  </w:num>
  <w:num w:numId="10">
    <w:abstractNumId w:val="0"/>
  </w:num>
  <w:num w:numId="11">
    <w:abstractNumId w:val="14"/>
  </w:num>
  <w:num w:numId="12">
    <w:abstractNumId w:val="18"/>
  </w:num>
  <w:num w:numId="13">
    <w:abstractNumId w:val="4"/>
  </w:num>
  <w:num w:numId="14">
    <w:abstractNumId w:val="16"/>
  </w:num>
  <w:num w:numId="15">
    <w:abstractNumId w:val="8"/>
  </w:num>
  <w:num w:numId="16">
    <w:abstractNumId w:val="12"/>
  </w:num>
  <w:num w:numId="17">
    <w:abstractNumId w:val="7"/>
  </w:num>
  <w:num w:numId="18">
    <w:abstractNumId w:val="6"/>
  </w:num>
  <w:num w:numId="19">
    <w:abstractNumId w:val="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3730B7"/>
    <w:rsid w:val="1C551183"/>
    <w:rsid w:val="1CFA6F0F"/>
    <w:rsid w:val="1D464B25"/>
    <w:rsid w:val="23847AED"/>
    <w:rsid w:val="2454112F"/>
    <w:rsid w:val="255676EF"/>
    <w:rsid w:val="256E3D94"/>
    <w:rsid w:val="268668F1"/>
    <w:rsid w:val="2B8B0204"/>
    <w:rsid w:val="34D8319D"/>
    <w:rsid w:val="41686056"/>
    <w:rsid w:val="5DB140B1"/>
    <w:rsid w:val="667040D2"/>
    <w:rsid w:val="741E02A0"/>
    <w:rsid w:val="7D8309B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等线" w:hAnsi="等线" w:eastAsia="等线" w:cs="Times New Roman"/>
      <w:kern w:val="2"/>
      <w:sz w:val="21"/>
      <w:szCs w:val="22"/>
      <w:lang w:val="en-US" w:eastAsia="zh-CN" w:bidi="ar-SA"/>
    </w:rPr>
  </w:style>
  <w:style w:type="character" w:default="1" w:styleId="5">
    <w:name w:val="Default Paragraph Font"/>
    <w:uiPriority w:val="0"/>
  </w:style>
  <w:style w:type="table" w:default="1" w:styleId="4">
    <w:name w:val="Normal Table"/>
    <w:qFormat/>
    <w:uiPriority w:val="0"/>
    <w:rPr>
      <w:lang w:val="en-US" w:eastAsia="zh-CN" w:bidi="ar-SA"/>
    </w:rPr>
    <w:tblPr>
      <w:tblLayout w:type="fixed"/>
      <w:tblCellMar>
        <w:top w:w="0" w:type="dxa"/>
        <w:left w:w="108" w:type="dxa"/>
        <w:bottom w:w="0" w:type="dxa"/>
        <w:right w:w="108" w:type="dxa"/>
      </w:tblCellMar>
    </w:tblPr>
  </w:style>
  <w:style w:type="paragraph" w:styleId="2">
    <w:name w:val="footer"/>
    <w:basedOn w:val="1"/>
    <w:link w:val="171"/>
    <w:uiPriority w:val="0"/>
    <w:pPr>
      <w:snapToGrid w:val="0"/>
      <w:jc w:val="left"/>
    </w:pPr>
    <w:rPr>
      <w:sz w:val="18"/>
      <w:szCs w:val="18"/>
    </w:rPr>
  </w:style>
  <w:style w:type="paragraph" w:styleId="3">
    <w:name w:val="header"/>
    <w:basedOn w:val="1"/>
    <w:link w:val="170"/>
    <w:uiPriority w:val="0"/>
    <w:pPr>
      <w:pBdr>
        <w:bottom w:val="single" w:color="auto" w:sz="6" w:space="1"/>
      </w:pBdr>
      <w:snapToGrid w:val="0"/>
      <w:jc w:val="center"/>
    </w:pPr>
    <w:rPr>
      <w:sz w:val="18"/>
      <w:szCs w:val="18"/>
    </w:rPr>
  </w:style>
  <w:style w:type="character" w:customStyle="1" w:styleId="6">
    <w:name w:val="页眉 字符"/>
    <w:link w:val="3"/>
    <w:uiPriority w:val="0"/>
    <w:rPr>
      <w:sz w:val="18"/>
      <w:szCs w:val="18"/>
    </w:rPr>
  </w:style>
  <w:style w:type="character" w:customStyle="1" w:styleId="7">
    <w:name w:val="页脚 字符"/>
    <w:link w:val="2"/>
    <w:qFormat/>
    <w:uiPriority w:val="0"/>
    <w:rPr>
      <w:sz w:val="18"/>
      <w:szCs w:val="18"/>
    </w:rPr>
  </w:style>
  <w:style w:type="character" w:customStyle="1" w:styleId="8">
    <w:name w:val="页眉 字符1"/>
    <w:link w:val="3"/>
    <w:qFormat/>
    <w:uiPriority w:val="0"/>
    <w:rPr>
      <w:sz w:val="18"/>
      <w:szCs w:val="18"/>
    </w:rPr>
  </w:style>
  <w:style w:type="character" w:customStyle="1" w:styleId="9">
    <w:name w:val="页脚 字符1"/>
    <w:link w:val="2"/>
    <w:uiPriority w:val="0"/>
    <w:rPr>
      <w:sz w:val="18"/>
      <w:szCs w:val="18"/>
    </w:rPr>
  </w:style>
  <w:style w:type="character" w:customStyle="1" w:styleId="10">
    <w:name w:val="页眉 字符2"/>
    <w:link w:val="3"/>
    <w:qFormat/>
    <w:uiPriority w:val="0"/>
    <w:rPr>
      <w:sz w:val="18"/>
      <w:szCs w:val="18"/>
    </w:rPr>
  </w:style>
  <w:style w:type="character" w:customStyle="1" w:styleId="11">
    <w:name w:val="页脚 字符2"/>
    <w:link w:val="2"/>
    <w:qFormat/>
    <w:uiPriority w:val="0"/>
    <w:rPr>
      <w:sz w:val="18"/>
      <w:szCs w:val="18"/>
    </w:rPr>
  </w:style>
  <w:style w:type="character" w:customStyle="1" w:styleId="12">
    <w:name w:val="页眉 字符3"/>
    <w:link w:val="3"/>
    <w:qFormat/>
    <w:uiPriority w:val="0"/>
    <w:rPr>
      <w:sz w:val="18"/>
      <w:szCs w:val="18"/>
    </w:rPr>
  </w:style>
  <w:style w:type="character" w:customStyle="1" w:styleId="13">
    <w:name w:val="页脚 字符3"/>
    <w:link w:val="2"/>
    <w:uiPriority w:val="0"/>
    <w:rPr>
      <w:sz w:val="18"/>
      <w:szCs w:val="18"/>
    </w:rPr>
  </w:style>
  <w:style w:type="character" w:customStyle="1" w:styleId="14">
    <w:name w:val="页眉 字符4"/>
    <w:link w:val="3"/>
    <w:qFormat/>
    <w:uiPriority w:val="0"/>
    <w:rPr>
      <w:sz w:val="18"/>
      <w:szCs w:val="18"/>
    </w:rPr>
  </w:style>
  <w:style w:type="character" w:customStyle="1" w:styleId="15">
    <w:name w:val="页脚 字符4"/>
    <w:link w:val="2"/>
    <w:qFormat/>
    <w:uiPriority w:val="0"/>
    <w:rPr>
      <w:sz w:val="18"/>
      <w:szCs w:val="18"/>
    </w:rPr>
  </w:style>
  <w:style w:type="character" w:customStyle="1" w:styleId="16">
    <w:name w:val="页眉 字符5"/>
    <w:link w:val="3"/>
    <w:qFormat/>
    <w:uiPriority w:val="0"/>
    <w:rPr>
      <w:sz w:val="18"/>
      <w:szCs w:val="18"/>
    </w:rPr>
  </w:style>
  <w:style w:type="character" w:customStyle="1" w:styleId="17">
    <w:name w:val="页脚 字符5"/>
    <w:link w:val="2"/>
    <w:qFormat/>
    <w:uiPriority w:val="0"/>
    <w:rPr>
      <w:sz w:val="18"/>
      <w:szCs w:val="18"/>
    </w:rPr>
  </w:style>
  <w:style w:type="character" w:customStyle="1" w:styleId="18">
    <w:name w:val="页眉 字符6"/>
    <w:link w:val="3"/>
    <w:qFormat/>
    <w:uiPriority w:val="0"/>
    <w:rPr>
      <w:sz w:val="18"/>
      <w:szCs w:val="18"/>
    </w:rPr>
  </w:style>
  <w:style w:type="character" w:customStyle="1" w:styleId="19">
    <w:name w:val="页脚 字符6"/>
    <w:link w:val="2"/>
    <w:uiPriority w:val="0"/>
    <w:rPr>
      <w:sz w:val="18"/>
      <w:szCs w:val="18"/>
    </w:rPr>
  </w:style>
  <w:style w:type="character" w:customStyle="1" w:styleId="20">
    <w:name w:val="页眉 字符7"/>
    <w:link w:val="3"/>
    <w:qFormat/>
    <w:uiPriority w:val="0"/>
    <w:rPr>
      <w:sz w:val="18"/>
      <w:szCs w:val="18"/>
    </w:rPr>
  </w:style>
  <w:style w:type="character" w:customStyle="1" w:styleId="21">
    <w:name w:val="页脚 字符7"/>
    <w:link w:val="2"/>
    <w:uiPriority w:val="0"/>
    <w:rPr>
      <w:sz w:val="18"/>
      <w:szCs w:val="18"/>
    </w:rPr>
  </w:style>
  <w:style w:type="character" w:customStyle="1" w:styleId="22">
    <w:name w:val="页眉 字符8"/>
    <w:link w:val="3"/>
    <w:qFormat/>
    <w:uiPriority w:val="0"/>
    <w:rPr>
      <w:sz w:val="18"/>
      <w:szCs w:val="18"/>
    </w:rPr>
  </w:style>
  <w:style w:type="character" w:customStyle="1" w:styleId="23">
    <w:name w:val="页脚 字符8"/>
    <w:link w:val="2"/>
    <w:uiPriority w:val="0"/>
    <w:rPr>
      <w:sz w:val="18"/>
      <w:szCs w:val="18"/>
    </w:rPr>
  </w:style>
  <w:style w:type="character" w:customStyle="1" w:styleId="24">
    <w:name w:val="页眉 字符9"/>
    <w:link w:val="3"/>
    <w:qFormat/>
    <w:uiPriority w:val="0"/>
    <w:rPr>
      <w:sz w:val="18"/>
      <w:szCs w:val="18"/>
    </w:rPr>
  </w:style>
  <w:style w:type="character" w:customStyle="1" w:styleId="25">
    <w:name w:val="页脚 字符9"/>
    <w:link w:val="2"/>
    <w:uiPriority w:val="0"/>
    <w:rPr>
      <w:sz w:val="18"/>
      <w:szCs w:val="18"/>
    </w:rPr>
  </w:style>
  <w:style w:type="character" w:customStyle="1" w:styleId="26">
    <w:name w:val="页眉 字符10"/>
    <w:link w:val="3"/>
    <w:qFormat/>
    <w:uiPriority w:val="0"/>
    <w:rPr>
      <w:sz w:val="18"/>
      <w:szCs w:val="18"/>
    </w:rPr>
  </w:style>
  <w:style w:type="character" w:customStyle="1" w:styleId="27">
    <w:name w:val="页脚 字符10"/>
    <w:link w:val="2"/>
    <w:uiPriority w:val="0"/>
    <w:rPr>
      <w:sz w:val="18"/>
      <w:szCs w:val="18"/>
    </w:rPr>
  </w:style>
  <w:style w:type="character" w:customStyle="1" w:styleId="28">
    <w:name w:val="页眉 字符11"/>
    <w:link w:val="3"/>
    <w:qFormat/>
    <w:uiPriority w:val="0"/>
    <w:rPr>
      <w:sz w:val="18"/>
      <w:szCs w:val="18"/>
    </w:rPr>
  </w:style>
  <w:style w:type="character" w:customStyle="1" w:styleId="29">
    <w:name w:val="页脚 字符11"/>
    <w:link w:val="2"/>
    <w:uiPriority w:val="0"/>
    <w:rPr>
      <w:sz w:val="18"/>
      <w:szCs w:val="18"/>
    </w:rPr>
  </w:style>
  <w:style w:type="character" w:customStyle="1" w:styleId="30">
    <w:name w:val="页眉 字符12"/>
    <w:link w:val="3"/>
    <w:qFormat/>
    <w:uiPriority w:val="0"/>
    <w:rPr>
      <w:sz w:val="18"/>
      <w:szCs w:val="18"/>
    </w:rPr>
  </w:style>
  <w:style w:type="character" w:customStyle="1" w:styleId="31">
    <w:name w:val="页脚 字符12"/>
    <w:link w:val="2"/>
    <w:uiPriority w:val="0"/>
    <w:rPr>
      <w:sz w:val="18"/>
      <w:szCs w:val="18"/>
    </w:rPr>
  </w:style>
  <w:style w:type="character" w:customStyle="1" w:styleId="32">
    <w:name w:val="页眉 字符13"/>
    <w:link w:val="3"/>
    <w:qFormat/>
    <w:uiPriority w:val="0"/>
    <w:rPr>
      <w:sz w:val="18"/>
      <w:szCs w:val="18"/>
    </w:rPr>
  </w:style>
  <w:style w:type="character" w:customStyle="1" w:styleId="33">
    <w:name w:val="页脚 字符13"/>
    <w:link w:val="2"/>
    <w:uiPriority w:val="0"/>
    <w:rPr>
      <w:sz w:val="18"/>
      <w:szCs w:val="18"/>
    </w:rPr>
  </w:style>
  <w:style w:type="character" w:customStyle="1" w:styleId="34">
    <w:name w:val="页眉 字符14"/>
    <w:link w:val="3"/>
    <w:qFormat/>
    <w:uiPriority w:val="0"/>
    <w:rPr>
      <w:sz w:val="18"/>
      <w:szCs w:val="18"/>
    </w:rPr>
  </w:style>
  <w:style w:type="character" w:customStyle="1" w:styleId="35">
    <w:name w:val="页脚 字符14"/>
    <w:link w:val="2"/>
    <w:uiPriority w:val="0"/>
    <w:rPr>
      <w:sz w:val="18"/>
      <w:szCs w:val="18"/>
    </w:rPr>
  </w:style>
  <w:style w:type="character" w:customStyle="1" w:styleId="36">
    <w:name w:val="页眉 字符15"/>
    <w:link w:val="3"/>
    <w:qFormat/>
    <w:uiPriority w:val="0"/>
    <w:rPr>
      <w:sz w:val="18"/>
      <w:szCs w:val="18"/>
    </w:rPr>
  </w:style>
  <w:style w:type="character" w:customStyle="1" w:styleId="37">
    <w:name w:val="页脚 字符15"/>
    <w:link w:val="2"/>
    <w:uiPriority w:val="0"/>
    <w:rPr>
      <w:sz w:val="18"/>
      <w:szCs w:val="18"/>
    </w:rPr>
  </w:style>
  <w:style w:type="character" w:customStyle="1" w:styleId="38">
    <w:name w:val="页眉 字符16"/>
    <w:link w:val="3"/>
    <w:qFormat/>
    <w:uiPriority w:val="0"/>
    <w:rPr>
      <w:sz w:val="18"/>
      <w:szCs w:val="18"/>
    </w:rPr>
  </w:style>
  <w:style w:type="character" w:customStyle="1" w:styleId="39">
    <w:name w:val="页脚 字符16"/>
    <w:link w:val="2"/>
    <w:uiPriority w:val="0"/>
    <w:rPr>
      <w:sz w:val="18"/>
      <w:szCs w:val="18"/>
    </w:rPr>
  </w:style>
  <w:style w:type="character" w:customStyle="1" w:styleId="40">
    <w:name w:val="页眉 字符17"/>
    <w:link w:val="3"/>
    <w:qFormat/>
    <w:uiPriority w:val="0"/>
    <w:rPr>
      <w:sz w:val="18"/>
      <w:szCs w:val="18"/>
    </w:rPr>
  </w:style>
  <w:style w:type="character" w:customStyle="1" w:styleId="41">
    <w:name w:val="页脚 字符17"/>
    <w:link w:val="2"/>
    <w:uiPriority w:val="0"/>
    <w:rPr>
      <w:sz w:val="18"/>
      <w:szCs w:val="18"/>
    </w:rPr>
  </w:style>
  <w:style w:type="character" w:customStyle="1" w:styleId="42">
    <w:name w:val="页眉 字符18"/>
    <w:link w:val="3"/>
    <w:qFormat/>
    <w:uiPriority w:val="0"/>
    <w:rPr>
      <w:sz w:val="18"/>
      <w:szCs w:val="18"/>
    </w:rPr>
  </w:style>
  <w:style w:type="character" w:customStyle="1" w:styleId="43">
    <w:name w:val="页脚 字符18"/>
    <w:link w:val="2"/>
    <w:uiPriority w:val="0"/>
    <w:rPr>
      <w:sz w:val="18"/>
      <w:szCs w:val="18"/>
    </w:rPr>
  </w:style>
  <w:style w:type="character" w:customStyle="1" w:styleId="44">
    <w:name w:val="页眉 字符19"/>
    <w:link w:val="3"/>
    <w:qFormat/>
    <w:uiPriority w:val="0"/>
    <w:rPr>
      <w:sz w:val="18"/>
      <w:szCs w:val="18"/>
    </w:rPr>
  </w:style>
  <w:style w:type="character" w:customStyle="1" w:styleId="45">
    <w:name w:val="页脚 字符19"/>
    <w:link w:val="2"/>
    <w:qFormat/>
    <w:uiPriority w:val="0"/>
    <w:rPr>
      <w:sz w:val="18"/>
      <w:szCs w:val="18"/>
    </w:rPr>
  </w:style>
  <w:style w:type="character" w:customStyle="1" w:styleId="46">
    <w:name w:val="页眉 字符20"/>
    <w:link w:val="3"/>
    <w:qFormat/>
    <w:uiPriority w:val="0"/>
    <w:rPr>
      <w:sz w:val="18"/>
      <w:szCs w:val="18"/>
    </w:rPr>
  </w:style>
  <w:style w:type="character" w:customStyle="1" w:styleId="47">
    <w:name w:val="页脚 字符20"/>
    <w:link w:val="2"/>
    <w:qFormat/>
    <w:uiPriority w:val="0"/>
    <w:rPr>
      <w:sz w:val="18"/>
      <w:szCs w:val="18"/>
    </w:rPr>
  </w:style>
  <w:style w:type="character" w:customStyle="1" w:styleId="48">
    <w:name w:val="页眉 字符21"/>
    <w:link w:val="3"/>
    <w:qFormat/>
    <w:uiPriority w:val="0"/>
    <w:rPr>
      <w:sz w:val="18"/>
      <w:szCs w:val="18"/>
    </w:rPr>
  </w:style>
  <w:style w:type="character" w:customStyle="1" w:styleId="49">
    <w:name w:val="页脚 字符21"/>
    <w:link w:val="2"/>
    <w:qFormat/>
    <w:uiPriority w:val="0"/>
    <w:rPr>
      <w:sz w:val="18"/>
      <w:szCs w:val="18"/>
    </w:rPr>
  </w:style>
  <w:style w:type="character" w:customStyle="1" w:styleId="50">
    <w:name w:val="页眉 字符22"/>
    <w:link w:val="3"/>
    <w:qFormat/>
    <w:uiPriority w:val="0"/>
    <w:rPr>
      <w:sz w:val="18"/>
      <w:szCs w:val="18"/>
    </w:rPr>
  </w:style>
  <w:style w:type="character" w:customStyle="1" w:styleId="51">
    <w:name w:val="页脚 字符22"/>
    <w:link w:val="2"/>
    <w:qFormat/>
    <w:uiPriority w:val="0"/>
    <w:rPr>
      <w:sz w:val="18"/>
      <w:szCs w:val="18"/>
    </w:rPr>
  </w:style>
  <w:style w:type="character" w:customStyle="1" w:styleId="52">
    <w:name w:val="页眉 字符23"/>
    <w:link w:val="3"/>
    <w:qFormat/>
    <w:uiPriority w:val="0"/>
    <w:rPr>
      <w:sz w:val="18"/>
      <w:szCs w:val="18"/>
    </w:rPr>
  </w:style>
  <w:style w:type="character" w:customStyle="1" w:styleId="53">
    <w:name w:val="页脚 字符23"/>
    <w:link w:val="2"/>
    <w:qFormat/>
    <w:uiPriority w:val="0"/>
    <w:rPr>
      <w:sz w:val="18"/>
      <w:szCs w:val="18"/>
    </w:rPr>
  </w:style>
  <w:style w:type="character" w:customStyle="1" w:styleId="54">
    <w:name w:val="页眉 字符24"/>
    <w:link w:val="3"/>
    <w:qFormat/>
    <w:uiPriority w:val="0"/>
    <w:rPr>
      <w:sz w:val="18"/>
      <w:szCs w:val="18"/>
    </w:rPr>
  </w:style>
  <w:style w:type="character" w:customStyle="1" w:styleId="55">
    <w:name w:val="页脚 字符24"/>
    <w:link w:val="2"/>
    <w:qFormat/>
    <w:uiPriority w:val="0"/>
    <w:rPr>
      <w:sz w:val="18"/>
      <w:szCs w:val="18"/>
    </w:rPr>
  </w:style>
  <w:style w:type="character" w:customStyle="1" w:styleId="56">
    <w:name w:val="页眉 字符25"/>
    <w:link w:val="3"/>
    <w:qFormat/>
    <w:uiPriority w:val="0"/>
    <w:rPr>
      <w:sz w:val="18"/>
      <w:szCs w:val="18"/>
    </w:rPr>
  </w:style>
  <w:style w:type="character" w:customStyle="1" w:styleId="57">
    <w:name w:val="页脚 字符25"/>
    <w:link w:val="2"/>
    <w:qFormat/>
    <w:uiPriority w:val="0"/>
    <w:rPr>
      <w:sz w:val="18"/>
      <w:szCs w:val="18"/>
    </w:rPr>
  </w:style>
  <w:style w:type="character" w:customStyle="1" w:styleId="58">
    <w:name w:val="页眉 字符26"/>
    <w:link w:val="3"/>
    <w:qFormat/>
    <w:uiPriority w:val="0"/>
    <w:rPr>
      <w:sz w:val="18"/>
      <w:szCs w:val="18"/>
    </w:rPr>
  </w:style>
  <w:style w:type="character" w:customStyle="1" w:styleId="59">
    <w:name w:val="页脚 字符26"/>
    <w:link w:val="2"/>
    <w:qFormat/>
    <w:uiPriority w:val="0"/>
    <w:rPr>
      <w:sz w:val="18"/>
      <w:szCs w:val="18"/>
    </w:rPr>
  </w:style>
  <w:style w:type="character" w:customStyle="1" w:styleId="60">
    <w:name w:val="页眉 字符27"/>
    <w:link w:val="3"/>
    <w:qFormat/>
    <w:uiPriority w:val="0"/>
    <w:rPr>
      <w:sz w:val="18"/>
      <w:szCs w:val="18"/>
    </w:rPr>
  </w:style>
  <w:style w:type="character" w:customStyle="1" w:styleId="61">
    <w:name w:val="页脚 字符27"/>
    <w:link w:val="2"/>
    <w:qFormat/>
    <w:uiPriority w:val="0"/>
    <w:rPr>
      <w:sz w:val="18"/>
      <w:szCs w:val="18"/>
    </w:rPr>
  </w:style>
  <w:style w:type="character" w:customStyle="1" w:styleId="62">
    <w:name w:val="页眉 字符28"/>
    <w:link w:val="3"/>
    <w:qFormat/>
    <w:uiPriority w:val="0"/>
    <w:rPr>
      <w:sz w:val="18"/>
      <w:szCs w:val="18"/>
    </w:rPr>
  </w:style>
  <w:style w:type="character" w:customStyle="1" w:styleId="63">
    <w:name w:val="页脚 字符28"/>
    <w:link w:val="2"/>
    <w:qFormat/>
    <w:uiPriority w:val="0"/>
    <w:rPr>
      <w:sz w:val="18"/>
      <w:szCs w:val="18"/>
    </w:rPr>
  </w:style>
  <w:style w:type="character" w:customStyle="1" w:styleId="64">
    <w:name w:val="页眉 字符29"/>
    <w:link w:val="3"/>
    <w:qFormat/>
    <w:uiPriority w:val="0"/>
    <w:rPr>
      <w:sz w:val="18"/>
      <w:szCs w:val="18"/>
    </w:rPr>
  </w:style>
  <w:style w:type="character" w:customStyle="1" w:styleId="65">
    <w:name w:val="页脚 字符29"/>
    <w:link w:val="2"/>
    <w:qFormat/>
    <w:uiPriority w:val="0"/>
    <w:rPr>
      <w:sz w:val="18"/>
      <w:szCs w:val="18"/>
    </w:rPr>
  </w:style>
  <w:style w:type="character" w:customStyle="1" w:styleId="66">
    <w:name w:val="页眉 字符30"/>
    <w:link w:val="3"/>
    <w:qFormat/>
    <w:uiPriority w:val="0"/>
    <w:rPr>
      <w:sz w:val="18"/>
      <w:szCs w:val="18"/>
    </w:rPr>
  </w:style>
  <w:style w:type="character" w:customStyle="1" w:styleId="67">
    <w:name w:val="页脚 字符30"/>
    <w:link w:val="2"/>
    <w:qFormat/>
    <w:uiPriority w:val="0"/>
    <w:rPr>
      <w:sz w:val="18"/>
      <w:szCs w:val="18"/>
    </w:rPr>
  </w:style>
  <w:style w:type="character" w:customStyle="1" w:styleId="68">
    <w:name w:val="页眉 字符31"/>
    <w:link w:val="3"/>
    <w:qFormat/>
    <w:uiPriority w:val="0"/>
    <w:rPr>
      <w:sz w:val="18"/>
      <w:szCs w:val="18"/>
    </w:rPr>
  </w:style>
  <w:style w:type="character" w:customStyle="1" w:styleId="69">
    <w:name w:val="页脚 字符31"/>
    <w:link w:val="2"/>
    <w:qFormat/>
    <w:uiPriority w:val="0"/>
    <w:rPr>
      <w:sz w:val="18"/>
      <w:szCs w:val="18"/>
    </w:rPr>
  </w:style>
  <w:style w:type="character" w:customStyle="1" w:styleId="70">
    <w:name w:val="页眉 字符32"/>
    <w:link w:val="3"/>
    <w:qFormat/>
    <w:uiPriority w:val="0"/>
    <w:rPr>
      <w:sz w:val="18"/>
      <w:szCs w:val="18"/>
    </w:rPr>
  </w:style>
  <w:style w:type="character" w:customStyle="1" w:styleId="71">
    <w:name w:val="页脚 字符32"/>
    <w:link w:val="2"/>
    <w:qFormat/>
    <w:uiPriority w:val="0"/>
    <w:rPr>
      <w:sz w:val="18"/>
      <w:szCs w:val="18"/>
    </w:rPr>
  </w:style>
  <w:style w:type="character" w:customStyle="1" w:styleId="72">
    <w:name w:val="页眉 字符33"/>
    <w:link w:val="3"/>
    <w:qFormat/>
    <w:uiPriority w:val="0"/>
    <w:rPr>
      <w:sz w:val="18"/>
      <w:szCs w:val="18"/>
    </w:rPr>
  </w:style>
  <w:style w:type="character" w:customStyle="1" w:styleId="73">
    <w:name w:val="页脚 字符33"/>
    <w:link w:val="2"/>
    <w:qFormat/>
    <w:uiPriority w:val="0"/>
    <w:rPr>
      <w:sz w:val="18"/>
      <w:szCs w:val="18"/>
    </w:rPr>
  </w:style>
  <w:style w:type="character" w:customStyle="1" w:styleId="74">
    <w:name w:val="页眉 字符34"/>
    <w:link w:val="3"/>
    <w:qFormat/>
    <w:uiPriority w:val="0"/>
    <w:rPr>
      <w:sz w:val="18"/>
      <w:szCs w:val="18"/>
    </w:rPr>
  </w:style>
  <w:style w:type="character" w:customStyle="1" w:styleId="75">
    <w:name w:val="页脚 字符34"/>
    <w:link w:val="2"/>
    <w:qFormat/>
    <w:uiPriority w:val="0"/>
    <w:rPr>
      <w:sz w:val="18"/>
      <w:szCs w:val="18"/>
    </w:rPr>
  </w:style>
  <w:style w:type="character" w:customStyle="1" w:styleId="76">
    <w:name w:val="页眉 字符35"/>
    <w:link w:val="3"/>
    <w:qFormat/>
    <w:uiPriority w:val="0"/>
    <w:rPr>
      <w:sz w:val="18"/>
      <w:szCs w:val="18"/>
    </w:rPr>
  </w:style>
  <w:style w:type="character" w:customStyle="1" w:styleId="77">
    <w:name w:val="页脚 字符35"/>
    <w:link w:val="2"/>
    <w:qFormat/>
    <w:uiPriority w:val="0"/>
    <w:rPr>
      <w:sz w:val="18"/>
      <w:szCs w:val="18"/>
    </w:rPr>
  </w:style>
  <w:style w:type="character" w:customStyle="1" w:styleId="78">
    <w:name w:val="页眉 字符36"/>
    <w:link w:val="3"/>
    <w:qFormat/>
    <w:uiPriority w:val="0"/>
    <w:rPr>
      <w:sz w:val="18"/>
      <w:szCs w:val="18"/>
    </w:rPr>
  </w:style>
  <w:style w:type="character" w:customStyle="1" w:styleId="79">
    <w:name w:val="页脚 字符36"/>
    <w:link w:val="2"/>
    <w:qFormat/>
    <w:uiPriority w:val="0"/>
    <w:rPr>
      <w:sz w:val="18"/>
      <w:szCs w:val="18"/>
    </w:rPr>
  </w:style>
  <w:style w:type="character" w:customStyle="1" w:styleId="80">
    <w:name w:val="页眉 字符37"/>
    <w:link w:val="3"/>
    <w:qFormat/>
    <w:uiPriority w:val="0"/>
    <w:rPr>
      <w:sz w:val="18"/>
      <w:szCs w:val="18"/>
    </w:rPr>
  </w:style>
  <w:style w:type="character" w:customStyle="1" w:styleId="81">
    <w:name w:val="页脚 字符37"/>
    <w:link w:val="2"/>
    <w:qFormat/>
    <w:uiPriority w:val="0"/>
    <w:rPr>
      <w:sz w:val="18"/>
      <w:szCs w:val="18"/>
    </w:rPr>
  </w:style>
  <w:style w:type="character" w:customStyle="1" w:styleId="82">
    <w:name w:val="页眉 字符38"/>
    <w:link w:val="3"/>
    <w:qFormat/>
    <w:uiPriority w:val="0"/>
    <w:rPr>
      <w:sz w:val="18"/>
      <w:szCs w:val="18"/>
    </w:rPr>
  </w:style>
  <w:style w:type="character" w:customStyle="1" w:styleId="83">
    <w:name w:val="页脚 字符38"/>
    <w:link w:val="2"/>
    <w:qFormat/>
    <w:uiPriority w:val="0"/>
    <w:rPr>
      <w:sz w:val="18"/>
      <w:szCs w:val="18"/>
    </w:rPr>
  </w:style>
  <w:style w:type="character" w:customStyle="1" w:styleId="84">
    <w:name w:val="页眉 字符39"/>
    <w:link w:val="3"/>
    <w:qFormat/>
    <w:uiPriority w:val="0"/>
    <w:rPr>
      <w:sz w:val="18"/>
      <w:szCs w:val="18"/>
    </w:rPr>
  </w:style>
  <w:style w:type="character" w:customStyle="1" w:styleId="85">
    <w:name w:val="页脚 字符39"/>
    <w:link w:val="2"/>
    <w:qFormat/>
    <w:uiPriority w:val="0"/>
    <w:rPr>
      <w:sz w:val="18"/>
      <w:szCs w:val="18"/>
    </w:rPr>
  </w:style>
  <w:style w:type="character" w:customStyle="1" w:styleId="86">
    <w:name w:val="页眉 字符40"/>
    <w:link w:val="3"/>
    <w:qFormat/>
    <w:uiPriority w:val="0"/>
    <w:rPr>
      <w:sz w:val="18"/>
      <w:szCs w:val="18"/>
    </w:rPr>
  </w:style>
  <w:style w:type="character" w:customStyle="1" w:styleId="87">
    <w:name w:val="页脚 字符40"/>
    <w:link w:val="2"/>
    <w:qFormat/>
    <w:uiPriority w:val="0"/>
    <w:rPr>
      <w:sz w:val="18"/>
      <w:szCs w:val="18"/>
    </w:rPr>
  </w:style>
  <w:style w:type="character" w:customStyle="1" w:styleId="88">
    <w:name w:val="页眉 字符41"/>
    <w:link w:val="3"/>
    <w:qFormat/>
    <w:uiPriority w:val="0"/>
    <w:rPr>
      <w:sz w:val="18"/>
      <w:szCs w:val="18"/>
    </w:rPr>
  </w:style>
  <w:style w:type="character" w:customStyle="1" w:styleId="89">
    <w:name w:val="页脚 字符41"/>
    <w:link w:val="2"/>
    <w:qFormat/>
    <w:uiPriority w:val="0"/>
    <w:rPr>
      <w:sz w:val="18"/>
      <w:szCs w:val="18"/>
    </w:rPr>
  </w:style>
  <w:style w:type="character" w:customStyle="1" w:styleId="90">
    <w:name w:val="页眉 字符42"/>
    <w:link w:val="3"/>
    <w:qFormat/>
    <w:uiPriority w:val="0"/>
    <w:rPr>
      <w:sz w:val="18"/>
      <w:szCs w:val="18"/>
    </w:rPr>
  </w:style>
  <w:style w:type="character" w:customStyle="1" w:styleId="91">
    <w:name w:val="页脚 字符42"/>
    <w:link w:val="2"/>
    <w:qFormat/>
    <w:uiPriority w:val="0"/>
    <w:rPr>
      <w:sz w:val="18"/>
      <w:szCs w:val="18"/>
    </w:rPr>
  </w:style>
  <w:style w:type="character" w:customStyle="1" w:styleId="92">
    <w:name w:val="页眉 字符43"/>
    <w:link w:val="3"/>
    <w:qFormat/>
    <w:uiPriority w:val="0"/>
    <w:rPr>
      <w:sz w:val="18"/>
      <w:szCs w:val="18"/>
    </w:rPr>
  </w:style>
  <w:style w:type="character" w:customStyle="1" w:styleId="93">
    <w:name w:val="页脚 字符43"/>
    <w:link w:val="2"/>
    <w:qFormat/>
    <w:uiPriority w:val="0"/>
    <w:rPr>
      <w:sz w:val="18"/>
      <w:szCs w:val="18"/>
    </w:rPr>
  </w:style>
  <w:style w:type="character" w:customStyle="1" w:styleId="94">
    <w:name w:val="页眉 字符44"/>
    <w:link w:val="3"/>
    <w:qFormat/>
    <w:uiPriority w:val="0"/>
    <w:rPr>
      <w:sz w:val="18"/>
      <w:szCs w:val="18"/>
    </w:rPr>
  </w:style>
  <w:style w:type="character" w:customStyle="1" w:styleId="95">
    <w:name w:val="页脚 字符44"/>
    <w:link w:val="2"/>
    <w:qFormat/>
    <w:uiPriority w:val="0"/>
    <w:rPr>
      <w:sz w:val="18"/>
      <w:szCs w:val="18"/>
    </w:rPr>
  </w:style>
  <w:style w:type="character" w:customStyle="1" w:styleId="96">
    <w:name w:val="页眉 字符45"/>
    <w:link w:val="3"/>
    <w:qFormat/>
    <w:uiPriority w:val="0"/>
    <w:rPr>
      <w:sz w:val="18"/>
      <w:szCs w:val="18"/>
    </w:rPr>
  </w:style>
  <w:style w:type="character" w:customStyle="1" w:styleId="97">
    <w:name w:val="页脚 字符45"/>
    <w:link w:val="2"/>
    <w:qFormat/>
    <w:uiPriority w:val="0"/>
    <w:rPr>
      <w:sz w:val="18"/>
      <w:szCs w:val="18"/>
    </w:rPr>
  </w:style>
  <w:style w:type="character" w:customStyle="1" w:styleId="98">
    <w:name w:val="页眉 字符46"/>
    <w:link w:val="3"/>
    <w:qFormat/>
    <w:uiPriority w:val="0"/>
    <w:rPr>
      <w:sz w:val="18"/>
      <w:szCs w:val="18"/>
    </w:rPr>
  </w:style>
  <w:style w:type="character" w:customStyle="1" w:styleId="99">
    <w:name w:val="页脚 字符46"/>
    <w:link w:val="2"/>
    <w:qFormat/>
    <w:uiPriority w:val="0"/>
    <w:rPr>
      <w:sz w:val="18"/>
      <w:szCs w:val="18"/>
    </w:rPr>
  </w:style>
  <w:style w:type="character" w:customStyle="1" w:styleId="100">
    <w:name w:val="页眉 字符47"/>
    <w:link w:val="3"/>
    <w:qFormat/>
    <w:uiPriority w:val="0"/>
    <w:rPr>
      <w:sz w:val="18"/>
      <w:szCs w:val="18"/>
    </w:rPr>
  </w:style>
  <w:style w:type="character" w:customStyle="1" w:styleId="101">
    <w:name w:val="页脚 字符47"/>
    <w:link w:val="2"/>
    <w:qFormat/>
    <w:uiPriority w:val="0"/>
    <w:rPr>
      <w:sz w:val="18"/>
      <w:szCs w:val="18"/>
    </w:rPr>
  </w:style>
  <w:style w:type="character" w:customStyle="1" w:styleId="102">
    <w:name w:val="页眉 字符48"/>
    <w:link w:val="3"/>
    <w:qFormat/>
    <w:uiPriority w:val="0"/>
    <w:rPr>
      <w:sz w:val="18"/>
      <w:szCs w:val="18"/>
    </w:rPr>
  </w:style>
  <w:style w:type="character" w:customStyle="1" w:styleId="103">
    <w:name w:val="页脚 字符48"/>
    <w:link w:val="2"/>
    <w:qFormat/>
    <w:uiPriority w:val="0"/>
    <w:rPr>
      <w:sz w:val="18"/>
      <w:szCs w:val="18"/>
    </w:rPr>
  </w:style>
  <w:style w:type="character" w:customStyle="1" w:styleId="104">
    <w:name w:val="页眉 字符49"/>
    <w:link w:val="3"/>
    <w:qFormat/>
    <w:uiPriority w:val="0"/>
    <w:rPr>
      <w:sz w:val="18"/>
      <w:szCs w:val="18"/>
    </w:rPr>
  </w:style>
  <w:style w:type="character" w:customStyle="1" w:styleId="105">
    <w:name w:val="页脚 字符49"/>
    <w:link w:val="2"/>
    <w:qFormat/>
    <w:uiPriority w:val="0"/>
    <w:rPr>
      <w:sz w:val="18"/>
      <w:szCs w:val="18"/>
    </w:rPr>
  </w:style>
  <w:style w:type="character" w:customStyle="1" w:styleId="106">
    <w:name w:val="页眉 字符50"/>
    <w:link w:val="3"/>
    <w:qFormat/>
    <w:uiPriority w:val="0"/>
    <w:rPr>
      <w:sz w:val="18"/>
      <w:szCs w:val="18"/>
    </w:rPr>
  </w:style>
  <w:style w:type="character" w:customStyle="1" w:styleId="107">
    <w:name w:val="页脚 字符50"/>
    <w:link w:val="2"/>
    <w:qFormat/>
    <w:uiPriority w:val="0"/>
    <w:rPr>
      <w:sz w:val="18"/>
      <w:szCs w:val="18"/>
    </w:rPr>
  </w:style>
  <w:style w:type="character" w:customStyle="1" w:styleId="108">
    <w:name w:val="页眉 字符51"/>
    <w:link w:val="3"/>
    <w:qFormat/>
    <w:uiPriority w:val="0"/>
    <w:rPr>
      <w:sz w:val="18"/>
      <w:szCs w:val="18"/>
    </w:rPr>
  </w:style>
  <w:style w:type="character" w:customStyle="1" w:styleId="109">
    <w:name w:val="页脚 字符51"/>
    <w:link w:val="2"/>
    <w:qFormat/>
    <w:uiPriority w:val="0"/>
    <w:rPr>
      <w:sz w:val="18"/>
      <w:szCs w:val="18"/>
    </w:rPr>
  </w:style>
  <w:style w:type="character" w:customStyle="1" w:styleId="110">
    <w:name w:val="页眉 字符52"/>
    <w:link w:val="3"/>
    <w:qFormat/>
    <w:uiPriority w:val="0"/>
    <w:rPr>
      <w:sz w:val="18"/>
      <w:szCs w:val="18"/>
    </w:rPr>
  </w:style>
  <w:style w:type="character" w:customStyle="1" w:styleId="111">
    <w:name w:val="页脚 字符52"/>
    <w:link w:val="2"/>
    <w:qFormat/>
    <w:uiPriority w:val="0"/>
    <w:rPr>
      <w:sz w:val="18"/>
      <w:szCs w:val="18"/>
    </w:rPr>
  </w:style>
  <w:style w:type="character" w:customStyle="1" w:styleId="112">
    <w:name w:val="页眉 字符53"/>
    <w:link w:val="3"/>
    <w:qFormat/>
    <w:uiPriority w:val="0"/>
    <w:rPr>
      <w:sz w:val="18"/>
      <w:szCs w:val="18"/>
    </w:rPr>
  </w:style>
  <w:style w:type="character" w:customStyle="1" w:styleId="113">
    <w:name w:val="页脚 字符53"/>
    <w:link w:val="2"/>
    <w:qFormat/>
    <w:uiPriority w:val="0"/>
    <w:rPr>
      <w:sz w:val="18"/>
      <w:szCs w:val="18"/>
    </w:rPr>
  </w:style>
  <w:style w:type="character" w:customStyle="1" w:styleId="114">
    <w:name w:val="页眉 字符54"/>
    <w:link w:val="3"/>
    <w:qFormat/>
    <w:uiPriority w:val="0"/>
    <w:rPr>
      <w:sz w:val="18"/>
      <w:szCs w:val="18"/>
    </w:rPr>
  </w:style>
  <w:style w:type="character" w:customStyle="1" w:styleId="115">
    <w:name w:val="页脚 字符54"/>
    <w:link w:val="2"/>
    <w:qFormat/>
    <w:uiPriority w:val="0"/>
    <w:rPr>
      <w:sz w:val="18"/>
      <w:szCs w:val="18"/>
    </w:rPr>
  </w:style>
  <w:style w:type="character" w:customStyle="1" w:styleId="116">
    <w:name w:val="页眉 字符55"/>
    <w:link w:val="3"/>
    <w:qFormat/>
    <w:uiPriority w:val="0"/>
    <w:rPr>
      <w:sz w:val="18"/>
      <w:szCs w:val="18"/>
    </w:rPr>
  </w:style>
  <w:style w:type="character" w:customStyle="1" w:styleId="117">
    <w:name w:val="页脚 字符55"/>
    <w:link w:val="2"/>
    <w:qFormat/>
    <w:uiPriority w:val="0"/>
    <w:rPr>
      <w:sz w:val="18"/>
      <w:szCs w:val="18"/>
    </w:rPr>
  </w:style>
  <w:style w:type="character" w:customStyle="1" w:styleId="118">
    <w:name w:val="页眉 字符56"/>
    <w:link w:val="3"/>
    <w:qFormat/>
    <w:uiPriority w:val="0"/>
    <w:rPr>
      <w:sz w:val="18"/>
      <w:szCs w:val="18"/>
    </w:rPr>
  </w:style>
  <w:style w:type="character" w:customStyle="1" w:styleId="119">
    <w:name w:val="页脚 字符56"/>
    <w:link w:val="2"/>
    <w:qFormat/>
    <w:uiPriority w:val="0"/>
    <w:rPr>
      <w:sz w:val="18"/>
      <w:szCs w:val="18"/>
    </w:rPr>
  </w:style>
  <w:style w:type="character" w:customStyle="1" w:styleId="120">
    <w:name w:val="页眉 字符57"/>
    <w:link w:val="3"/>
    <w:qFormat/>
    <w:uiPriority w:val="0"/>
    <w:rPr>
      <w:sz w:val="18"/>
      <w:szCs w:val="18"/>
    </w:rPr>
  </w:style>
  <w:style w:type="character" w:customStyle="1" w:styleId="121">
    <w:name w:val="页脚 字符57"/>
    <w:link w:val="2"/>
    <w:qFormat/>
    <w:uiPriority w:val="0"/>
    <w:rPr>
      <w:sz w:val="18"/>
      <w:szCs w:val="18"/>
    </w:rPr>
  </w:style>
  <w:style w:type="character" w:customStyle="1" w:styleId="122">
    <w:name w:val="页眉 字符58"/>
    <w:link w:val="3"/>
    <w:qFormat/>
    <w:uiPriority w:val="0"/>
    <w:rPr>
      <w:sz w:val="18"/>
      <w:szCs w:val="18"/>
    </w:rPr>
  </w:style>
  <w:style w:type="character" w:customStyle="1" w:styleId="123">
    <w:name w:val="页脚 字符58"/>
    <w:link w:val="2"/>
    <w:qFormat/>
    <w:uiPriority w:val="0"/>
    <w:rPr>
      <w:sz w:val="18"/>
      <w:szCs w:val="18"/>
    </w:rPr>
  </w:style>
  <w:style w:type="character" w:customStyle="1" w:styleId="124">
    <w:name w:val="页眉 字符59"/>
    <w:link w:val="3"/>
    <w:qFormat/>
    <w:uiPriority w:val="0"/>
    <w:rPr>
      <w:sz w:val="18"/>
      <w:szCs w:val="18"/>
    </w:rPr>
  </w:style>
  <w:style w:type="character" w:customStyle="1" w:styleId="125">
    <w:name w:val="页脚 字符59"/>
    <w:link w:val="2"/>
    <w:qFormat/>
    <w:uiPriority w:val="0"/>
    <w:rPr>
      <w:sz w:val="18"/>
      <w:szCs w:val="18"/>
    </w:rPr>
  </w:style>
  <w:style w:type="character" w:customStyle="1" w:styleId="126">
    <w:name w:val="页眉 字符60"/>
    <w:link w:val="3"/>
    <w:qFormat/>
    <w:uiPriority w:val="0"/>
    <w:rPr>
      <w:sz w:val="18"/>
      <w:szCs w:val="18"/>
    </w:rPr>
  </w:style>
  <w:style w:type="character" w:customStyle="1" w:styleId="127">
    <w:name w:val="页脚 字符60"/>
    <w:link w:val="2"/>
    <w:qFormat/>
    <w:uiPriority w:val="0"/>
    <w:rPr>
      <w:sz w:val="18"/>
      <w:szCs w:val="18"/>
    </w:rPr>
  </w:style>
  <w:style w:type="character" w:customStyle="1" w:styleId="128">
    <w:name w:val="页眉 字符61"/>
    <w:link w:val="3"/>
    <w:qFormat/>
    <w:uiPriority w:val="0"/>
    <w:rPr>
      <w:sz w:val="18"/>
      <w:szCs w:val="18"/>
    </w:rPr>
  </w:style>
  <w:style w:type="character" w:customStyle="1" w:styleId="129">
    <w:name w:val="页脚 字符61"/>
    <w:link w:val="2"/>
    <w:qFormat/>
    <w:uiPriority w:val="0"/>
    <w:rPr>
      <w:sz w:val="18"/>
      <w:szCs w:val="18"/>
    </w:rPr>
  </w:style>
  <w:style w:type="character" w:customStyle="1" w:styleId="130">
    <w:name w:val="页眉 字符62"/>
    <w:link w:val="3"/>
    <w:qFormat/>
    <w:uiPriority w:val="0"/>
    <w:rPr>
      <w:sz w:val="18"/>
      <w:szCs w:val="18"/>
    </w:rPr>
  </w:style>
  <w:style w:type="character" w:customStyle="1" w:styleId="131">
    <w:name w:val="页脚 字符62"/>
    <w:link w:val="2"/>
    <w:qFormat/>
    <w:uiPriority w:val="0"/>
    <w:rPr>
      <w:sz w:val="18"/>
      <w:szCs w:val="18"/>
    </w:rPr>
  </w:style>
  <w:style w:type="character" w:customStyle="1" w:styleId="132">
    <w:name w:val="页眉 字符63"/>
    <w:link w:val="3"/>
    <w:qFormat/>
    <w:uiPriority w:val="0"/>
    <w:rPr>
      <w:sz w:val="18"/>
      <w:szCs w:val="18"/>
    </w:rPr>
  </w:style>
  <w:style w:type="character" w:customStyle="1" w:styleId="133">
    <w:name w:val="页脚 字符63"/>
    <w:link w:val="2"/>
    <w:qFormat/>
    <w:uiPriority w:val="0"/>
    <w:rPr>
      <w:sz w:val="18"/>
      <w:szCs w:val="18"/>
    </w:rPr>
  </w:style>
  <w:style w:type="character" w:customStyle="1" w:styleId="134">
    <w:name w:val="页眉 字符64"/>
    <w:link w:val="3"/>
    <w:qFormat/>
    <w:uiPriority w:val="0"/>
    <w:rPr>
      <w:sz w:val="18"/>
      <w:szCs w:val="18"/>
    </w:rPr>
  </w:style>
  <w:style w:type="character" w:customStyle="1" w:styleId="135">
    <w:name w:val="页脚 字符64"/>
    <w:link w:val="2"/>
    <w:qFormat/>
    <w:uiPriority w:val="0"/>
    <w:rPr>
      <w:sz w:val="18"/>
      <w:szCs w:val="18"/>
    </w:rPr>
  </w:style>
  <w:style w:type="character" w:customStyle="1" w:styleId="136">
    <w:name w:val="页眉 字符65"/>
    <w:link w:val="3"/>
    <w:qFormat/>
    <w:uiPriority w:val="0"/>
    <w:rPr>
      <w:sz w:val="18"/>
      <w:szCs w:val="18"/>
    </w:rPr>
  </w:style>
  <w:style w:type="character" w:customStyle="1" w:styleId="137">
    <w:name w:val="页脚 字符65"/>
    <w:link w:val="2"/>
    <w:qFormat/>
    <w:uiPriority w:val="0"/>
    <w:rPr>
      <w:sz w:val="18"/>
      <w:szCs w:val="18"/>
    </w:rPr>
  </w:style>
  <w:style w:type="character" w:customStyle="1" w:styleId="138">
    <w:name w:val="页眉 字符66"/>
    <w:link w:val="3"/>
    <w:qFormat/>
    <w:uiPriority w:val="0"/>
    <w:rPr>
      <w:sz w:val="18"/>
      <w:szCs w:val="18"/>
    </w:rPr>
  </w:style>
  <w:style w:type="character" w:customStyle="1" w:styleId="139">
    <w:name w:val="页脚 字符66"/>
    <w:link w:val="2"/>
    <w:qFormat/>
    <w:uiPriority w:val="0"/>
    <w:rPr>
      <w:sz w:val="18"/>
      <w:szCs w:val="18"/>
    </w:rPr>
  </w:style>
  <w:style w:type="character" w:customStyle="1" w:styleId="140">
    <w:name w:val="页眉 字符67"/>
    <w:link w:val="3"/>
    <w:qFormat/>
    <w:uiPriority w:val="0"/>
    <w:rPr>
      <w:sz w:val="18"/>
      <w:szCs w:val="18"/>
    </w:rPr>
  </w:style>
  <w:style w:type="character" w:customStyle="1" w:styleId="141">
    <w:name w:val="页脚 字符67"/>
    <w:link w:val="2"/>
    <w:qFormat/>
    <w:uiPriority w:val="0"/>
    <w:rPr>
      <w:sz w:val="18"/>
      <w:szCs w:val="18"/>
    </w:rPr>
  </w:style>
  <w:style w:type="character" w:customStyle="1" w:styleId="142">
    <w:name w:val="页眉 字符68"/>
    <w:link w:val="3"/>
    <w:qFormat/>
    <w:uiPriority w:val="0"/>
    <w:rPr>
      <w:sz w:val="18"/>
      <w:szCs w:val="18"/>
    </w:rPr>
  </w:style>
  <w:style w:type="character" w:customStyle="1" w:styleId="143">
    <w:name w:val="页脚 字符68"/>
    <w:link w:val="2"/>
    <w:qFormat/>
    <w:uiPriority w:val="0"/>
    <w:rPr>
      <w:sz w:val="18"/>
      <w:szCs w:val="18"/>
    </w:rPr>
  </w:style>
  <w:style w:type="character" w:customStyle="1" w:styleId="144">
    <w:name w:val="页眉 字符69"/>
    <w:link w:val="3"/>
    <w:qFormat/>
    <w:uiPriority w:val="0"/>
    <w:rPr>
      <w:sz w:val="18"/>
      <w:szCs w:val="18"/>
    </w:rPr>
  </w:style>
  <w:style w:type="character" w:customStyle="1" w:styleId="145">
    <w:name w:val="页脚 字符69"/>
    <w:link w:val="2"/>
    <w:qFormat/>
    <w:uiPriority w:val="0"/>
    <w:rPr>
      <w:sz w:val="18"/>
      <w:szCs w:val="18"/>
    </w:rPr>
  </w:style>
  <w:style w:type="character" w:customStyle="1" w:styleId="146">
    <w:name w:val="页眉 字符70"/>
    <w:link w:val="3"/>
    <w:qFormat/>
    <w:uiPriority w:val="0"/>
    <w:rPr>
      <w:sz w:val="18"/>
      <w:szCs w:val="18"/>
    </w:rPr>
  </w:style>
  <w:style w:type="character" w:customStyle="1" w:styleId="147">
    <w:name w:val="页脚 字符70"/>
    <w:link w:val="2"/>
    <w:qFormat/>
    <w:uiPriority w:val="0"/>
    <w:rPr>
      <w:sz w:val="18"/>
      <w:szCs w:val="18"/>
    </w:rPr>
  </w:style>
  <w:style w:type="character" w:customStyle="1" w:styleId="148">
    <w:name w:val="页眉 字符71"/>
    <w:link w:val="3"/>
    <w:qFormat/>
    <w:uiPriority w:val="0"/>
    <w:rPr>
      <w:sz w:val="18"/>
      <w:szCs w:val="18"/>
    </w:rPr>
  </w:style>
  <w:style w:type="character" w:customStyle="1" w:styleId="149">
    <w:name w:val="页脚 字符71"/>
    <w:link w:val="2"/>
    <w:qFormat/>
    <w:uiPriority w:val="0"/>
    <w:rPr>
      <w:sz w:val="18"/>
      <w:szCs w:val="18"/>
    </w:rPr>
  </w:style>
  <w:style w:type="character" w:customStyle="1" w:styleId="150">
    <w:name w:val="页眉 字符72"/>
    <w:link w:val="3"/>
    <w:qFormat/>
    <w:uiPriority w:val="0"/>
    <w:rPr>
      <w:sz w:val="18"/>
      <w:szCs w:val="18"/>
    </w:rPr>
  </w:style>
  <w:style w:type="character" w:customStyle="1" w:styleId="151">
    <w:name w:val="页脚 字符72"/>
    <w:link w:val="2"/>
    <w:qFormat/>
    <w:uiPriority w:val="0"/>
    <w:rPr>
      <w:sz w:val="18"/>
      <w:szCs w:val="18"/>
    </w:rPr>
  </w:style>
  <w:style w:type="character" w:customStyle="1" w:styleId="152">
    <w:name w:val="页眉 字符73"/>
    <w:link w:val="3"/>
    <w:qFormat/>
    <w:uiPriority w:val="0"/>
    <w:rPr>
      <w:sz w:val="18"/>
      <w:szCs w:val="18"/>
    </w:rPr>
  </w:style>
  <w:style w:type="character" w:customStyle="1" w:styleId="153">
    <w:name w:val="页脚 字符73"/>
    <w:link w:val="2"/>
    <w:qFormat/>
    <w:uiPriority w:val="0"/>
    <w:rPr>
      <w:sz w:val="18"/>
      <w:szCs w:val="18"/>
    </w:rPr>
  </w:style>
  <w:style w:type="character" w:customStyle="1" w:styleId="154">
    <w:name w:val="页眉 字符74"/>
    <w:link w:val="3"/>
    <w:qFormat/>
    <w:uiPriority w:val="0"/>
    <w:rPr>
      <w:sz w:val="18"/>
      <w:szCs w:val="18"/>
    </w:rPr>
  </w:style>
  <w:style w:type="character" w:customStyle="1" w:styleId="155">
    <w:name w:val="页脚 字符74"/>
    <w:link w:val="2"/>
    <w:qFormat/>
    <w:uiPriority w:val="0"/>
    <w:rPr>
      <w:sz w:val="18"/>
      <w:szCs w:val="18"/>
    </w:rPr>
  </w:style>
  <w:style w:type="character" w:customStyle="1" w:styleId="156">
    <w:name w:val="页眉 字符75"/>
    <w:link w:val="3"/>
    <w:qFormat/>
    <w:uiPriority w:val="0"/>
    <w:rPr>
      <w:sz w:val="18"/>
      <w:szCs w:val="18"/>
    </w:rPr>
  </w:style>
  <w:style w:type="character" w:customStyle="1" w:styleId="157">
    <w:name w:val="页脚 字符75"/>
    <w:link w:val="2"/>
    <w:qFormat/>
    <w:uiPriority w:val="0"/>
    <w:rPr>
      <w:sz w:val="18"/>
      <w:szCs w:val="18"/>
    </w:rPr>
  </w:style>
  <w:style w:type="character" w:customStyle="1" w:styleId="158">
    <w:name w:val="页眉 字符76"/>
    <w:link w:val="3"/>
    <w:qFormat/>
    <w:uiPriority w:val="0"/>
    <w:rPr>
      <w:sz w:val="18"/>
      <w:szCs w:val="18"/>
    </w:rPr>
  </w:style>
  <w:style w:type="character" w:customStyle="1" w:styleId="159">
    <w:name w:val="页脚 字符76"/>
    <w:link w:val="2"/>
    <w:qFormat/>
    <w:uiPriority w:val="0"/>
    <w:rPr>
      <w:sz w:val="18"/>
      <w:szCs w:val="18"/>
    </w:rPr>
  </w:style>
  <w:style w:type="character" w:customStyle="1" w:styleId="160">
    <w:name w:val="页眉 字符77"/>
    <w:link w:val="3"/>
    <w:qFormat/>
    <w:uiPriority w:val="0"/>
    <w:rPr>
      <w:sz w:val="18"/>
      <w:szCs w:val="18"/>
    </w:rPr>
  </w:style>
  <w:style w:type="character" w:customStyle="1" w:styleId="161">
    <w:name w:val="页脚 字符77"/>
    <w:link w:val="2"/>
    <w:qFormat/>
    <w:uiPriority w:val="0"/>
    <w:rPr>
      <w:sz w:val="18"/>
      <w:szCs w:val="18"/>
    </w:rPr>
  </w:style>
  <w:style w:type="character" w:customStyle="1" w:styleId="162">
    <w:name w:val="页眉 字符78"/>
    <w:link w:val="3"/>
    <w:qFormat/>
    <w:uiPriority w:val="0"/>
    <w:rPr>
      <w:sz w:val="18"/>
      <w:szCs w:val="18"/>
    </w:rPr>
  </w:style>
  <w:style w:type="character" w:customStyle="1" w:styleId="163">
    <w:name w:val="页脚 字符78"/>
    <w:link w:val="2"/>
    <w:qFormat/>
    <w:uiPriority w:val="0"/>
    <w:rPr>
      <w:sz w:val="18"/>
      <w:szCs w:val="18"/>
    </w:rPr>
  </w:style>
  <w:style w:type="character" w:customStyle="1" w:styleId="164">
    <w:name w:val="页眉 字符79"/>
    <w:link w:val="3"/>
    <w:qFormat/>
    <w:uiPriority w:val="0"/>
    <w:rPr>
      <w:sz w:val="18"/>
      <w:szCs w:val="18"/>
    </w:rPr>
  </w:style>
  <w:style w:type="character" w:customStyle="1" w:styleId="165">
    <w:name w:val="页脚 字符79"/>
    <w:link w:val="2"/>
    <w:qFormat/>
    <w:uiPriority w:val="0"/>
    <w:rPr>
      <w:sz w:val="18"/>
      <w:szCs w:val="18"/>
    </w:rPr>
  </w:style>
  <w:style w:type="character" w:customStyle="1" w:styleId="166">
    <w:name w:val="页眉 字符80"/>
    <w:link w:val="3"/>
    <w:qFormat/>
    <w:uiPriority w:val="0"/>
    <w:rPr>
      <w:sz w:val="18"/>
      <w:szCs w:val="18"/>
    </w:rPr>
  </w:style>
  <w:style w:type="character" w:customStyle="1" w:styleId="167">
    <w:name w:val="页脚 字符80"/>
    <w:link w:val="2"/>
    <w:qFormat/>
    <w:uiPriority w:val="0"/>
    <w:rPr>
      <w:sz w:val="18"/>
      <w:szCs w:val="18"/>
    </w:rPr>
  </w:style>
  <w:style w:type="character" w:customStyle="1" w:styleId="168">
    <w:name w:val="页眉 字符81"/>
    <w:link w:val="3"/>
    <w:qFormat/>
    <w:uiPriority w:val="0"/>
    <w:rPr>
      <w:sz w:val="18"/>
      <w:szCs w:val="18"/>
    </w:rPr>
  </w:style>
  <w:style w:type="character" w:customStyle="1" w:styleId="169">
    <w:name w:val="页脚 字符81"/>
    <w:link w:val="2"/>
    <w:qFormat/>
    <w:uiPriority w:val="0"/>
    <w:rPr>
      <w:sz w:val="18"/>
      <w:szCs w:val="18"/>
    </w:rPr>
  </w:style>
  <w:style w:type="character" w:customStyle="1" w:styleId="170">
    <w:name w:val="页眉 字符82"/>
    <w:link w:val="3"/>
    <w:qFormat/>
    <w:uiPriority w:val="0"/>
    <w:rPr>
      <w:sz w:val="18"/>
      <w:szCs w:val="18"/>
    </w:rPr>
  </w:style>
  <w:style w:type="character" w:customStyle="1" w:styleId="171">
    <w:name w:val="页脚 字符82"/>
    <w:link w:val="2"/>
    <w:uiPriority w:val="0"/>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18</Words>
  <Characters>106</Characters>
  <Lines>1</Lines>
  <Paragraphs>1</Paragraphs>
  <TotalTime>8</TotalTime>
  <ScaleCrop>false</ScaleCrop>
  <LinksUpToDate>false</LinksUpToDate>
  <CharactersWithSpaces>123</CharactersWithSpaces>
  <Application>WPS Office_11.1.0.8976_F1E327BC-269C-435d-A152-05C5408002CA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2018-07-25T08:55:00Z</dcterms:created>
  <dc:creator>杨行</dc:creator>
  <cp:lastModifiedBy>zff</cp:lastModifiedBy>
  <dcterms:modified xsi:type="dcterms:W3CDTF">2019-09-14T11:02:53Z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