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b/>
          <w:color w:val="984806"/>
          <w:sz w:val="36"/>
          <w:szCs w:val="36"/>
        </w:rPr>
      </w:pPr>
      <w:r>
        <w:rPr>
          <w:rFonts w:hint="eastAsia" w:ascii="微软雅黑" w:hAnsi="微软雅黑" w:eastAsia="微软雅黑"/>
          <w:b/>
          <w:color w:val="984806"/>
          <w:sz w:val="36"/>
          <w:szCs w:val="36"/>
        </w:rPr>
        <w:t>南京</w:t>
      </w:r>
      <w:r>
        <w:rPr>
          <w:rFonts w:ascii="微软雅黑" w:hAnsi="微软雅黑" w:eastAsia="微软雅黑"/>
          <w:b/>
          <w:color w:val="984806"/>
          <w:sz w:val="36"/>
          <w:szCs w:val="36"/>
        </w:rPr>
        <w:t>财经大学</w:t>
      </w:r>
      <w:r>
        <w:rPr>
          <w:rFonts w:hint="eastAsia" w:ascii="微软雅黑" w:hAnsi="微软雅黑" w:eastAsia="微软雅黑"/>
          <w:b/>
          <w:color w:val="984806"/>
          <w:sz w:val="36"/>
          <w:szCs w:val="36"/>
        </w:rPr>
        <w:t>营销与物流管理学院</w:t>
      </w:r>
      <w:bookmarkStart w:id="0" w:name="_GoBack"/>
      <w:bookmarkEnd w:id="0"/>
    </w:p>
    <w:p>
      <w:pPr>
        <w:spacing w:line="360" w:lineRule="auto"/>
        <w:jc w:val="center"/>
        <w:rPr>
          <w:rFonts w:hint="eastAsia" w:ascii="微软雅黑" w:hAnsi="微软雅黑" w:eastAsia="微软雅黑"/>
          <w:b/>
          <w:color w:val="984806"/>
          <w:sz w:val="36"/>
          <w:szCs w:val="36"/>
        </w:rPr>
      </w:pPr>
      <w:r>
        <w:rPr>
          <w:rFonts w:hint="eastAsia" w:ascii="微软雅黑" w:hAnsi="微软雅黑" w:eastAsia="微软雅黑"/>
          <w:b/>
          <w:color w:val="984806"/>
          <w:sz w:val="36"/>
          <w:szCs w:val="36"/>
        </w:rPr>
        <w:t>2020年硕士研究生</w:t>
      </w:r>
      <w:r>
        <w:rPr>
          <w:rFonts w:hint="eastAsia" w:ascii="微软雅黑" w:hAnsi="微软雅黑" w:eastAsia="微软雅黑"/>
          <w:b/>
          <w:color w:val="984806"/>
          <w:sz w:val="36"/>
          <w:szCs w:val="36"/>
          <w:lang w:val="en-US" w:eastAsia="zh-CN"/>
        </w:rPr>
        <w:t>(</w:t>
      </w:r>
      <w:r>
        <w:rPr>
          <w:rFonts w:hint="eastAsia" w:ascii="微软雅黑" w:hAnsi="微软雅黑" w:eastAsia="微软雅黑"/>
          <w:b/>
          <w:color w:val="984806"/>
          <w:sz w:val="36"/>
          <w:szCs w:val="36"/>
        </w:rPr>
        <w:t>学术型、专业型</w:t>
      </w:r>
      <w:r>
        <w:rPr>
          <w:rFonts w:hint="eastAsia" w:ascii="微软雅黑" w:hAnsi="微软雅黑" w:eastAsia="微软雅黑"/>
          <w:b/>
          <w:color w:val="984806"/>
          <w:sz w:val="36"/>
          <w:szCs w:val="36"/>
          <w:lang w:val="en-US" w:eastAsia="zh-CN"/>
        </w:rPr>
        <w:t>)</w:t>
      </w:r>
      <w:r>
        <w:rPr>
          <w:rFonts w:hint="eastAsia" w:ascii="微软雅黑" w:hAnsi="微软雅黑" w:eastAsia="微软雅黑"/>
          <w:b/>
          <w:color w:val="984806"/>
          <w:sz w:val="36"/>
          <w:szCs w:val="36"/>
        </w:rPr>
        <w:t>招生简章</w:t>
      </w:r>
    </w:p>
    <w:p>
      <w:pPr>
        <w:widowControl/>
        <w:shd w:val="clear" w:color="auto" w:fill="F9F9F9"/>
        <w:spacing w:before="100" w:beforeAutospacing="1" w:after="75" w:line="315" w:lineRule="atLeast"/>
        <w:jc w:val="left"/>
        <w:rPr>
          <w:rFonts w:ascii="微软雅黑" w:hAnsi="微软雅黑" w:eastAsia="微软雅黑"/>
          <w:b/>
          <w:bCs/>
          <w:color w:val="FFFFFF"/>
          <w:sz w:val="24"/>
          <w:shd w:val="clear" w:color="auto" w:fill="0070C0"/>
        </w:rPr>
      </w:pPr>
      <w:r>
        <w:rPr>
          <w:rFonts w:hint="eastAsia" w:ascii="微软雅黑" w:hAnsi="微软雅黑" w:eastAsia="微软雅黑"/>
          <w:b/>
          <w:bCs/>
          <w:color w:val="FFFFFF"/>
          <w:sz w:val="24"/>
          <w:shd w:val="clear" w:color="auto" w:fill="0070C0"/>
        </w:rPr>
        <w:t>【学校简介】</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南京财经大学是一所以经济管理类学科为主，经济学、管理学、法学、工学、文学、理学、艺术学等多学科支撑配套、协调发展的江苏省属重点建设大学。</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学校拥有应用经济学博士后流动站1个，“现代粮食流通产业发展与政策”博士人才培养项目1项，硕士学位授权一级学科12个，硕士专业学位授权点13个。在校硕士研究生2279人，博士研究生15人。</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学校现有应用经济学、工商管理、粮食安全与工程等江苏高校优势学科3个，马克思主义理论江苏省重点学科1个，法学、统计学、数学、理论经济学、计算机科学与技术等江苏省重点（培育）学科5个。获批现代服务业协同创新中心、现代粮食流通与安全协同创新中心等江苏高校协同创新中心2个。建成国家工程实验室2个，国家级国际联合研究中心1个，省级重点实验室3个，省部共建工程实验室1个，省部级工程技术研究中心3个，省哲学社会科学重点培育智库1个，省级重点研究基地2个，江苏高校哲学社会科学重点研究基地2个，江苏高校人文社会科学校外研究基地1个，江苏省厅局共建科研机构6个，江苏省首批中国特色社会主义理论体系研究基地1个。</w:t>
      </w:r>
    </w:p>
    <w:p>
      <w:pPr>
        <w:widowControl/>
        <w:shd w:val="clear" w:color="auto" w:fill="F9F9F9"/>
        <w:spacing w:before="100" w:beforeAutospacing="1" w:after="75" w:line="315" w:lineRule="atLeast"/>
        <w:jc w:val="left"/>
        <w:rPr>
          <w:rFonts w:ascii="微软雅黑" w:hAnsi="微软雅黑" w:eastAsia="微软雅黑"/>
          <w:b/>
          <w:bCs/>
          <w:color w:val="FFFFFF"/>
          <w:sz w:val="24"/>
          <w:shd w:val="clear" w:color="auto" w:fill="0070C0"/>
        </w:rPr>
      </w:pPr>
      <w:r>
        <w:rPr>
          <w:rFonts w:hint="eastAsia" w:ascii="微软雅黑" w:hAnsi="微软雅黑" w:eastAsia="微软雅黑"/>
          <w:b/>
          <w:bCs/>
          <w:color w:val="FFFFFF"/>
          <w:sz w:val="24"/>
          <w:shd w:val="clear" w:color="auto" w:fill="0070C0"/>
        </w:rPr>
        <w:t>【学院简介】</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营销与物流管理学院始于1993年，2003年升格为学院，秉持“厚德载物、广学济世”院训办学。学院下设市场营销、物流管理、广告学3个系、1个省级重点实验室、1个校级实验室、3个校级科研机构。拥有本科和硕士（校首批硕士点）两个办学层次，有企业管理（营销）和营销与物流管理两个二级学术型硕士点；工程管理专业型硕士点。市场营销专业为江苏省特色专业、物流管理专业和广告专业为校级特色专业，工商管理为江苏省优势学科。全日制在校生1008人（其中，研究生</w:t>
      </w:r>
      <w:r>
        <w:rPr>
          <w:rFonts w:ascii="仿宋" w:hAnsi="仿宋" w:eastAsia="仿宋" w:cs="仿宋"/>
          <w:szCs w:val="21"/>
        </w:rPr>
        <w:t>60</w:t>
      </w:r>
      <w:r>
        <w:rPr>
          <w:rFonts w:hint="eastAsia" w:ascii="仿宋" w:hAnsi="仿宋" w:eastAsia="仿宋" w:cs="仿宋"/>
          <w:szCs w:val="21"/>
        </w:rPr>
        <w:t>余名）。</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现有教职工54人，其中专职教师44名。拥有博士学位教师27人，有海外经历教师9人。2人入选国家教育部教学指导委员会委员、</w:t>
      </w:r>
      <w:r>
        <w:rPr>
          <w:rFonts w:ascii="仿宋" w:hAnsi="仿宋" w:eastAsia="仿宋" w:cs="仿宋"/>
          <w:szCs w:val="21"/>
        </w:rPr>
        <w:t>4</w:t>
      </w:r>
      <w:r>
        <w:rPr>
          <w:rFonts w:hint="eastAsia" w:ascii="仿宋" w:hAnsi="仿宋" w:eastAsia="仿宋" w:cs="仿宋"/>
          <w:szCs w:val="21"/>
        </w:rPr>
        <w:t>人入选省级工程人才。学院教师实力较为雄厚，科研成果主要集中在品牌战略与企业升级、现代物流与供应链管理、逆向物流设计与运作、物流系统规划与运作等。近年来学院承担国家级项目2</w:t>
      </w:r>
      <w:r>
        <w:rPr>
          <w:rFonts w:ascii="仿宋" w:hAnsi="仿宋" w:eastAsia="仿宋" w:cs="仿宋"/>
          <w:szCs w:val="21"/>
        </w:rPr>
        <w:t>0</w:t>
      </w:r>
      <w:r>
        <w:rPr>
          <w:rFonts w:hint="eastAsia" w:ascii="仿宋" w:hAnsi="仿宋" w:eastAsia="仿宋" w:cs="仿宋"/>
          <w:szCs w:val="21"/>
        </w:rPr>
        <w:t>余项，累计科研经费达2</w:t>
      </w:r>
      <w:r>
        <w:rPr>
          <w:rFonts w:ascii="仿宋" w:hAnsi="仿宋" w:eastAsia="仿宋" w:cs="仿宋"/>
          <w:szCs w:val="21"/>
        </w:rPr>
        <w:t>000</w:t>
      </w:r>
      <w:r>
        <w:rPr>
          <w:rFonts w:hint="eastAsia" w:ascii="仿宋" w:hAnsi="仿宋" w:eastAsia="仿宋" w:cs="仿宋"/>
          <w:szCs w:val="21"/>
        </w:rPr>
        <w:t>万元，在国内外权威期刊发表学术论文近1</w:t>
      </w:r>
      <w:r>
        <w:rPr>
          <w:rFonts w:ascii="仿宋" w:hAnsi="仿宋" w:eastAsia="仿宋" w:cs="仿宋"/>
          <w:szCs w:val="21"/>
        </w:rPr>
        <w:t>00</w:t>
      </w:r>
      <w:r>
        <w:rPr>
          <w:rFonts w:hint="eastAsia" w:ascii="仿宋" w:hAnsi="仿宋" w:eastAsia="仿宋" w:cs="仿宋"/>
          <w:szCs w:val="21"/>
        </w:rPr>
        <w:t>余篇，获省部级科研奖励1</w:t>
      </w:r>
      <w:r>
        <w:rPr>
          <w:rFonts w:ascii="仿宋" w:hAnsi="仿宋" w:eastAsia="仿宋" w:cs="仿宋"/>
          <w:szCs w:val="21"/>
        </w:rPr>
        <w:t>0</w:t>
      </w:r>
      <w:r>
        <w:rPr>
          <w:rFonts w:hint="eastAsia" w:ascii="仿宋" w:hAnsi="仿宋" w:eastAsia="仿宋" w:cs="仿宋"/>
          <w:szCs w:val="21"/>
        </w:rPr>
        <w:t>余项。</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毕业研究生就业率达100%，毕业去向包括银行保险等金融机构、国内大型企事业单位、科研机构等相关单位；部分研究生考取国内双一流大学或出国攻读博士学位。近年来，毕业学生为学院在长三角乃至全国赢得了广泛声誉。</w:t>
      </w:r>
    </w:p>
    <w:p>
      <w:pPr>
        <w:widowControl/>
        <w:shd w:val="clear" w:color="auto" w:fill="F9F9F9"/>
        <w:spacing w:before="100" w:beforeAutospacing="1" w:after="75" w:line="315" w:lineRule="atLeast"/>
        <w:jc w:val="left"/>
        <w:rPr>
          <w:rFonts w:ascii="微软雅黑" w:hAnsi="微软雅黑" w:eastAsia="微软雅黑"/>
          <w:b/>
          <w:bCs/>
          <w:color w:val="FFFFFF"/>
          <w:sz w:val="24"/>
          <w:shd w:val="clear" w:color="auto" w:fill="0070C0"/>
        </w:rPr>
      </w:pPr>
      <w:r>
        <w:rPr>
          <w:rFonts w:hint="eastAsia" w:ascii="微软雅黑" w:hAnsi="微软雅黑" w:eastAsia="微软雅黑"/>
          <w:b/>
          <w:bCs/>
          <w:color w:val="FFFFFF"/>
          <w:sz w:val="24"/>
          <w:shd w:val="clear" w:color="auto" w:fill="0070C0"/>
        </w:rPr>
        <w:t>【硕士点简介】</w:t>
      </w:r>
    </w:p>
    <w:p>
      <w:pPr>
        <w:widowControl/>
        <w:shd w:val="clear" w:color="auto" w:fill="F9F9F9"/>
        <w:adjustRightInd w:val="0"/>
        <w:snapToGrid w:val="0"/>
        <w:spacing w:line="400" w:lineRule="exact"/>
        <w:ind w:firstLine="422" w:firstLineChars="200"/>
        <w:jc w:val="left"/>
        <w:rPr>
          <w:rFonts w:eastAsia="微软雅黑"/>
          <w:b/>
          <w:szCs w:val="21"/>
        </w:rPr>
      </w:pPr>
      <w:r>
        <w:rPr>
          <w:rFonts w:hint="eastAsia" w:eastAsia="微软雅黑"/>
          <w:b/>
          <w:szCs w:val="21"/>
        </w:rPr>
        <w:t xml:space="preserve">企业管理（营销） </w:t>
      </w:r>
      <w:r>
        <w:rPr>
          <w:rFonts w:hint="eastAsia" w:eastAsia="微软雅黑"/>
          <w:szCs w:val="21"/>
        </w:rPr>
        <w:t>学科方向与特色：</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1.聚焦于“互联网+”背景下的品牌管理、网络营销及大数据营销等研究领域。</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2.结合互联网环境的新变化，较早开展互联网金融企业品牌核心竞争力和品牌强度的研究，探讨线上顾客行为、线上品牌管理以及网络零售退货策略；通过电商大数据可信推荐系统和智能商务大数据的融合与应用，拓展大数据营销研究领域。</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3.近五年主持国家自科基金和社科基金8项，其中自科重点1项、社科重点1项；获得教育部高等学校科学研究优秀成果奖-科技进步奖二等奖1项、江苏省哲学社会科学优秀成果一等奖1项；与江苏省工商行政管理局共建江苏省品牌（商标）研究院；与南京市人民政府共建南京都市圈发展研究中心，并连续举办13届南京都市圈发展论坛。毕业生就业前景好，分布在大公司人力资源管理部门、金融等高薪领域，部分考取985高校博士研究生。</w:t>
      </w:r>
    </w:p>
    <w:p>
      <w:pPr>
        <w:widowControl/>
        <w:shd w:val="clear" w:color="auto" w:fill="F9F9F9"/>
        <w:adjustRightInd w:val="0"/>
        <w:snapToGrid w:val="0"/>
        <w:spacing w:line="400" w:lineRule="exact"/>
        <w:ind w:firstLine="422" w:firstLineChars="200"/>
        <w:jc w:val="left"/>
        <w:rPr>
          <w:rFonts w:ascii="仿宋" w:hAnsi="仿宋" w:eastAsia="仿宋" w:cs="仿宋"/>
          <w:szCs w:val="21"/>
        </w:rPr>
      </w:pPr>
      <w:r>
        <w:rPr>
          <w:rFonts w:hint="eastAsia" w:eastAsia="微软雅黑"/>
          <w:b/>
          <w:szCs w:val="21"/>
        </w:rPr>
        <w:t>营销与物流管理</w:t>
      </w:r>
      <w:r>
        <w:rPr>
          <w:rFonts w:hint="eastAsia" w:ascii="仿宋" w:hAnsi="仿宋" w:eastAsia="仿宋" w:cs="仿宋"/>
          <w:szCs w:val="21"/>
        </w:rPr>
        <w:t xml:space="preserve"> 为工商管理一级学科自主设立的二级学科。</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eastAsia="微软雅黑"/>
          <w:szCs w:val="21"/>
        </w:rPr>
        <w:t>学科方向与特色</w:t>
      </w:r>
      <w:r>
        <w:rPr>
          <w:rFonts w:hint="eastAsia" w:ascii="仿宋" w:hAnsi="仿宋" w:eastAsia="仿宋" w:cs="仿宋"/>
          <w:szCs w:val="21"/>
        </w:rPr>
        <w:t>：</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1.聚焦于现代物流与供应链管理、物流系统规划与运作等研究领域。</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2.紧密围绕国家物流行业的重大需求，构建现代物流与供应链管理、物流体系协同规划等相关理论与方法，创新物流运作管理模式。</w:t>
      </w:r>
      <w:r>
        <w:rPr>
          <w:rFonts w:ascii="仿宋" w:hAnsi="仿宋" w:eastAsia="仿宋" w:cs="仿宋"/>
          <w:szCs w:val="21"/>
        </w:rPr>
        <w:t xml:space="preserve">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3.近五年主持国家自科基金和社科基金10项，其中自科重点1项，在国内外重要期刊发表论文130余篇；拥有江苏省现代物流重点实验室1个，为地方政府和行业发布江苏省物流指数报告，一批成果获得国家、省政府主要领导的批示，为地方政府、行业和企业发展提供了重要的决策参考。毕业生就业前景好，就业岗位分布在大型物流企业、大型制造业企业的物流部门、研究机构、金融机构、银行等高薪领域，部分考取公务员以及国内外知名大学的博士研究生，专业教育在江苏省乃至长三角具有一定影响力。</w:t>
      </w:r>
    </w:p>
    <w:p>
      <w:pPr>
        <w:widowControl/>
        <w:shd w:val="clear" w:color="auto" w:fill="F9F9F9"/>
        <w:adjustRightInd w:val="0"/>
        <w:snapToGrid w:val="0"/>
        <w:spacing w:line="400" w:lineRule="exact"/>
        <w:ind w:firstLine="422" w:firstLineChars="200"/>
        <w:jc w:val="left"/>
        <w:rPr>
          <w:rFonts w:ascii="仿宋" w:hAnsi="仿宋" w:eastAsia="仿宋" w:cs="仿宋"/>
          <w:szCs w:val="21"/>
        </w:rPr>
      </w:pPr>
      <w:r>
        <w:rPr>
          <w:rFonts w:hint="eastAsia" w:eastAsia="微软雅黑"/>
          <w:b/>
          <w:szCs w:val="21"/>
        </w:rPr>
        <w:t xml:space="preserve">工程管理 </w:t>
      </w:r>
      <w:r>
        <w:rPr>
          <w:rFonts w:hint="eastAsia" w:ascii="仿宋" w:hAnsi="仿宋" w:eastAsia="仿宋" w:cs="仿宋"/>
          <w:szCs w:val="21"/>
        </w:rPr>
        <w:t>此专业为我院新增专业型硕士点，在2020年招收学生。</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w:t>
      </w:r>
      <w:r>
        <w:rPr>
          <w:rFonts w:hint="eastAsia" w:eastAsia="微软雅黑"/>
          <w:szCs w:val="21"/>
        </w:rPr>
        <w:t>报考条件：</w:t>
      </w:r>
      <w:r>
        <w:rPr>
          <w:rFonts w:hint="eastAsia" w:ascii="仿宋" w:hAnsi="仿宋" w:eastAsia="仿宋" w:cs="仿宋"/>
          <w:szCs w:val="21"/>
        </w:rPr>
        <w:t>大学本科毕业后有3年及以上工作经验的人员；或获得国家承认的高职高专毕业学历后，有5年及以上工作经验，达到与大学本科毕业生同等学力的人员；或已获硕士学位或博士学位并有2年及以上工作经验的人员。</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2</w:t>
      </w:r>
      <w:r>
        <w:rPr>
          <w:rFonts w:ascii="仿宋" w:hAnsi="仿宋" w:eastAsia="仿宋" w:cs="仿宋"/>
          <w:szCs w:val="21"/>
        </w:rPr>
        <w:t>.</w:t>
      </w:r>
      <w:r>
        <w:rPr>
          <w:rFonts w:hint="eastAsia" w:eastAsia="微软雅黑"/>
          <w:szCs w:val="21"/>
        </w:rPr>
        <w:t>学制</w:t>
      </w:r>
      <w:r>
        <w:rPr>
          <w:rFonts w:hint="eastAsia" w:ascii="仿宋" w:hAnsi="仿宋" w:eastAsia="仿宋" w:cs="仿宋"/>
          <w:szCs w:val="21"/>
        </w:rPr>
        <w:t>：2</w:t>
      </w:r>
      <w:r>
        <w:rPr>
          <w:rFonts w:ascii="仿宋" w:hAnsi="仿宋" w:eastAsia="仿宋" w:cs="仿宋"/>
          <w:szCs w:val="21"/>
        </w:rPr>
        <w:t>.5</w:t>
      </w:r>
      <w:r>
        <w:rPr>
          <w:rFonts w:hint="eastAsia" w:ascii="仿宋" w:hAnsi="仿宋" w:eastAsia="仿宋" w:cs="仿宋"/>
          <w:szCs w:val="21"/>
        </w:rPr>
        <w:t>年。如在规定时期完成课程学习、但未完成学位论文者，可申请延长学习年限，但累计最长学习年限不得超过5年。</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w:t>
      </w:r>
      <w:r>
        <w:rPr>
          <w:rFonts w:hint="eastAsia" w:eastAsia="微软雅黑"/>
          <w:szCs w:val="21"/>
        </w:rPr>
        <w:t>培养方式</w:t>
      </w:r>
      <w:r>
        <w:rPr>
          <w:rFonts w:hint="eastAsia" w:ascii="仿宋" w:hAnsi="仿宋" w:eastAsia="仿宋" w:cs="仿宋"/>
          <w:szCs w:val="21"/>
        </w:rPr>
        <w:t>：非全日制，即采用周末非脱产学习的形式。在规定年限内全部课程考试成绩合格、修满规定的学分且论文答辩通过者经学位委员会认定，毕业时可获研究生毕业证和工程管理硕士学位证双证。</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4</w:t>
      </w:r>
      <w:r>
        <w:rPr>
          <w:rFonts w:ascii="仿宋" w:hAnsi="仿宋" w:eastAsia="仿宋" w:cs="仿宋"/>
          <w:szCs w:val="21"/>
        </w:rPr>
        <w:t>.</w:t>
      </w:r>
      <w:r>
        <w:rPr>
          <w:rFonts w:hint="eastAsia" w:eastAsia="微软雅黑"/>
          <w:szCs w:val="21"/>
        </w:rPr>
        <w:t>研究方向</w:t>
      </w:r>
      <w:r>
        <w:rPr>
          <w:rFonts w:hint="eastAsia" w:ascii="仿宋" w:hAnsi="仿宋" w:eastAsia="仿宋" w:cs="仿宋"/>
          <w:szCs w:val="21"/>
        </w:rPr>
        <w:t>：我校结合自身的专业优势，将工程管理专业硕士的培养方向定位于：具有财经行业特色、大财经视野和大数据应用能力，既懂技术又懂管理，既能从事经济管理领域中的工程技术工作，又能从事工程技术领域中的经济管理工作的复合型高级专门人才。包括以下两个特色方向：</w:t>
      </w:r>
      <w:r>
        <w:rPr>
          <w:rFonts w:hint="eastAsia" w:ascii="仿宋" w:hAnsi="仿宋" w:eastAsia="仿宋" w:cs="仿宋"/>
          <w:b/>
          <w:bCs/>
          <w:szCs w:val="21"/>
        </w:rPr>
        <w:t>物流工程与交通运输管理</w:t>
      </w:r>
      <w:r>
        <w:rPr>
          <w:rFonts w:hint="eastAsia" w:ascii="仿宋" w:hAnsi="仿宋" w:eastAsia="仿宋" w:cs="仿宋"/>
          <w:szCs w:val="21"/>
        </w:rPr>
        <w:t>、</w:t>
      </w:r>
      <w:r>
        <w:rPr>
          <w:rFonts w:hint="eastAsia" w:ascii="仿宋" w:hAnsi="仿宋" w:eastAsia="仿宋" w:cs="仿宋"/>
          <w:b/>
          <w:bCs/>
          <w:szCs w:val="21"/>
        </w:rPr>
        <w:t>营销与物流信息工程管理</w:t>
      </w:r>
      <w:r>
        <w:rPr>
          <w:rFonts w:hint="eastAsia" w:ascii="仿宋" w:hAnsi="仿宋" w:eastAsia="仿宋" w:cs="仿宋"/>
          <w:szCs w:val="21"/>
        </w:rPr>
        <w:t>。</w:t>
      </w:r>
    </w:p>
    <w:p>
      <w:pPr>
        <w:widowControl/>
        <w:shd w:val="clear" w:color="auto" w:fill="F9F9F9"/>
        <w:adjustRightInd w:val="0"/>
        <w:snapToGrid w:val="0"/>
        <w:spacing w:line="400" w:lineRule="exact"/>
        <w:ind w:firstLine="422" w:firstLineChars="200"/>
        <w:jc w:val="left"/>
        <w:rPr>
          <w:rFonts w:ascii="仿宋" w:hAnsi="仿宋" w:eastAsia="仿宋" w:cs="仿宋"/>
          <w:b/>
          <w:bCs/>
          <w:szCs w:val="21"/>
        </w:rPr>
      </w:pPr>
      <w:r>
        <w:rPr>
          <w:rFonts w:hint="eastAsia" w:ascii="仿宋" w:hAnsi="仿宋" w:eastAsia="仿宋" w:cs="仿宋"/>
          <w:b/>
          <w:bCs/>
          <w:szCs w:val="21"/>
        </w:rPr>
        <w:t>方向一：物流工程与交通运输管理</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面向政府部门、企业和社会组织中从事交通运输规划与物流工程管理等相关工作的技术与管理人员，设置具有“大财经+大数据”特色的课程体系，培养掌握经济学、管理学、交通规划、物流工程和工程管理理论，以及现代统计分析技术、机器学习技术，具备数据分析和组织能力、行业大数据开发和应用能力、商务智能分析能力，能够制定政府部门和企业的交通运输规划、物流政策与规划、港口与园区物流工程规划、粮食物流和供应链规划的高端工程管理人才。</w:t>
      </w:r>
    </w:p>
    <w:p>
      <w:pPr>
        <w:widowControl/>
        <w:shd w:val="clear" w:color="auto" w:fill="F9F9F9"/>
        <w:adjustRightInd w:val="0"/>
        <w:snapToGrid w:val="0"/>
        <w:spacing w:line="400" w:lineRule="exact"/>
        <w:ind w:firstLine="422" w:firstLineChars="200"/>
        <w:jc w:val="left"/>
        <w:rPr>
          <w:rFonts w:ascii="仿宋" w:hAnsi="仿宋" w:eastAsia="仿宋" w:cs="仿宋"/>
          <w:b/>
          <w:bCs/>
          <w:szCs w:val="21"/>
        </w:rPr>
      </w:pPr>
      <w:r>
        <w:rPr>
          <w:rFonts w:hint="eastAsia" w:ascii="仿宋" w:hAnsi="仿宋" w:eastAsia="仿宋" w:cs="仿宋"/>
          <w:b/>
          <w:bCs/>
          <w:szCs w:val="21"/>
        </w:rPr>
        <w:t>方向二：营销与物流信息工程管理</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面向政府部门、企业和社会组织中从事营销工程、信息管理等工程技术领域相关工作的技术与管理人员，设置具有“大数据+多工具”特色的课程体系，培养掌握经济学、管理学、营销工程和信息管理基本理论，以及数据采集技术、数据挖掘技术、系统仿真技术、营销预测技术及所对应的科学分析工具，能够运用现代先进的决策方法对市场与营销信息进行定量分析与科学管理，并进行科学有效的市场管理与营销决策的高端工程管理人才。</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ascii="仿宋" w:hAnsi="仿宋" w:eastAsia="仿宋" w:cs="仿宋"/>
          <w:szCs w:val="21"/>
        </w:rPr>
        <w:t>5.</w:t>
      </w:r>
      <w:r>
        <w:rPr>
          <w:rFonts w:hint="eastAsia" w:eastAsia="微软雅黑"/>
          <w:szCs w:val="21"/>
        </w:rPr>
        <w:t>项目特色</w:t>
      </w:r>
      <w:r>
        <w:rPr>
          <w:rFonts w:hint="eastAsia" w:ascii="仿宋" w:hAnsi="仿宋" w:eastAsia="仿宋" w:cs="仿宋"/>
          <w:szCs w:val="21"/>
        </w:rPr>
        <w:t>：学校建有专门的校内工程创新与管理创新训练基地，与省内外知名企业合作建有实践基地，可以在校内外开展高层次、高水平的工程管理实践活动；师资以富有工程管理教学经验的高水平教师为主，同时兼聘校内外具有企业管理经验的导师，为开展综合交叉的跨界教学提供了条件。</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p>
    <w:p>
      <w:pPr>
        <w:widowControl/>
        <w:shd w:val="clear" w:color="auto" w:fill="F9F9F9"/>
        <w:spacing w:before="100" w:beforeAutospacing="1" w:after="75" w:line="315" w:lineRule="atLeast"/>
        <w:jc w:val="left"/>
        <w:rPr>
          <w:rFonts w:ascii="微软雅黑" w:hAnsi="微软雅黑" w:eastAsia="微软雅黑"/>
          <w:b/>
          <w:bCs/>
          <w:color w:val="FFFFFF"/>
          <w:sz w:val="24"/>
          <w:shd w:val="clear" w:color="auto" w:fill="0070C0"/>
        </w:rPr>
      </w:pPr>
      <w:r>
        <w:rPr>
          <w:rFonts w:hint="eastAsia" w:ascii="微软雅黑" w:hAnsi="微软雅黑" w:eastAsia="微软雅黑"/>
          <w:b/>
          <w:bCs/>
          <w:color w:val="FFFFFF"/>
          <w:sz w:val="24"/>
          <w:shd w:val="clear" w:color="auto" w:fill="0070C0"/>
        </w:rPr>
        <w:t>【导师力量】</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营销与物流管理学院拥有一支教学经验丰富、科研能力突出的师资团队。硕士生导师18人，其中教授11人，副教授</w:t>
      </w:r>
      <w:r>
        <w:rPr>
          <w:rFonts w:ascii="仿宋" w:hAnsi="仿宋" w:eastAsia="仿宋" w:cs="仿宋"/>
          <w:szCs w:val="21"/>
        </w:rPr>
        <w:t>7</w:t>
      </w:r>
      <w:r>
        <w:rPr>
          <w:rFonts w:hint="eastAsia" w:ascii="仿宋" w:hAnsi="仿宋" w:eastAsia="仿宋" w:cs="仿宋"/>
          <w:szCs w:val="21"/>
        </w:rPr>
        <w:t>人。教师博士学位占比达到90%，部分导师具有海外留学背景，形成了以中青年教师为主体，专业结构、职称结构、学缘结构合理的师资队伍。</w:t>
      </w:r>
    </w:p>
    <w:p>
      <w:pPr>
        <w:widowControl/>
        <w:shd w:val="clear" w:color="auto" w:fill="F9F9F9"/>
        <w:spacing w:before="100" w:beforeAutospacing="1" w:after="75" w:line="315" w:lineRule="atLeast"/>
        <w:jc w:val="left"/>
        <w:rPr>
          <w:rFonts w:ascii="微软雅黑" w:hAnsi="微软雅黑" w:eastAsia="微软雅黑"/>
          <w:b/>
          <w:bCs/>
          <w:color w:val="FFFFFF"/>
          <w:sz w:val="24"/>
          <w:shd w:val="clear" w:color="auto" w:fill="0070C0"/>
        </w:rPr>
      </w:pPr>
      <w:r>
        <w:rPr>
          <w:rFonts w:hint="eastAsia" w:ascii="微软雅黑" w:hAnsi="微软雅黑" w:eastAsia="微软雅黑"/>
          <w:b/>
          <w:bCs/>
          <w:color w:val="FFFFFF"/>
          <w:sz w:val="24"/>
          <w:shd w:val="clear" w:color="auto" w:fill="0070C0"/>
        </w:rPr>
        <w:t>【专业报考信息】</w:t>
      </w: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3284" w:type="dxa"/>
          </w:tcPr>
          <w:p>
            <w:pPr>
              <w:widowControl/>
              <w:shd w:val="clear" w:color="auto" w:fill="F9F9F9"/>
              <w:adjustRightInd w:val="0"/>
              <w:snapToGrid w:val="0"/>
              <w:spacing w:line="400" w:lineRule="exact"/>
              <w:jc w:val="center"/>
              <w:rPr>
                <w:rFonts w:ascii="仿宋" w:hAnsi="仿宋" w:eastAsia="仿宋" w:cs="仿宋"/>
                <w:szCs w:val="21"/>
              </w:rPr>
            </w:pPr>
            <w:r>
              <w:rPr>
                <w:rFonts w:ascii="仿宋" w:hAnsi="仿宋" w:eastAsia="仿宋" w:cs="仿宋"/>
                <w:szCs w:val="21"/>
              </w:rPr>
              <w:t xml:space="preserve">专业代码、名称 </w:t>
            </w:r>
            <w:r>
              <w:rPr>
                <w:rFonts w:hint="eastAsia" w:ascii="仿宋" w:hAnsi="仿宋" w:eastAsia="仿宋" w:cs="仿宋"/>
                <w:szCs w:val="21"/>
              </w:rPr>
              <w:t>及研究方向</w:t>
            </w:r>
          </w:p>
        </w:tc>
        <w:tc>
          <w:tcPr>
            <w:tcW w:w="3285" w:type="dxa"/>
          </w:tcPr>
          <w:p>
            <w:pPr>
              <w:widowControl/>
              <w:shd w:val="clear" w:color="auto" w:fill="F9F9F9"/>
              <w:adjustRightInd w:val="0"/>
              <w:snapToGrid w:val="0"/>
              <w:spacing w:line="400" w:lineRule="exact"/>
              <w:jc w:val="center"/>
              <w:rPr>
                <w:rFonts w:ascii="仿宋" w:hAnsi="仿宋" w:eastAsia="仿宋" w:cs="仿宋"/>
                <w:szCs w:val="21"/>
              </w:rPr>
            </w:pPr>
            <w:r>
              <w:rPr>
                <w:rFonts w:hint="eastAsia" w:ascii="仿宋" w:hAnsi="仿宋" w:eastAsia="仿宋" w:cs="仿宋"/>
                <w:szCs w:val="21"/>
              </w:rPr>
              <w:t>考试科目</w:t>
            </w:r>
          </w:p>
        </w:tc>
        <w:tc>
          <w:tcPr>
            <w:tcW w:w="3285" w:type="dxa"/>
          </w:tcPr>
          <w:p>
            <w:pPr>
              <w:widowControl/>
              <w:shd w:val="clear" w:color="auto" w:fill="F9F9F9"/>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tcPr>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ascii="仿宋" w:hAnsi="仿宋" w:eastAsia="仿宋" w:cs="仿宋"/>
                <w:szCs w:val="21"/>
              </w:rPr>
              <w:t xml:space="preserve">120202 企业管理（含市场营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销）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009 营销与物流管理学院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01 品牌管理与市场营销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02服务产品与营销</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03 广告策划与管理</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04 现代物流与供应链管理</w:t>
            </w:r>
          </w:p>
        </w:tc>
        <w:tc>
          <w:tcPr>
            <w:tcW w:w="3285" w:type="dxa"/>
          </w:tcPr>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①101 思想政治理论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②201 英语一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③303 数学三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④814 管理学综合（微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观经济学、管理学） </w:t>
            </w:r>
          </w:p>
        </w:tc>
        <w:tc>
          <w:tcPr>
            <w:tcW w:w="3285" w:type="dxa"/>
          </w:tcPr>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复试笔试课程：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①市场营销学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同等学力加试：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①统计学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②组织行为学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tcPr>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ascii="仿宋" w:hAnsi="仿宋" w:eastAsia="仿宋" w:cs="仿宋"/>
                <w:szCs w:val="21"/>
              </w:rPr>
              <w:t>★1202Z1 营销与物流管理</w:t>
            </w:r>
            <w:r>
              <w:rPr>
                <w:rFonts w:hint="eastAsia" w:ascii="仿宋" w:hAnsi="仿宋" w:eastAsia="仿宋" w:cs="仿宋"/>
                <w:szCs w:val="21"/>
              </w:rPr>
              <w:t xml:space="preserve">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009 营销与物流管理学院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01 现代物流管理</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02 供应链管理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03 市场营销</w:t>
            </w:r>
          </w:p>
        </w:tc>
        <w:tc>
          <w:tcPr>
            <w:tcW w:w="3285" w:type="dxa"/>
          </w:tcPr>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①101 思想政治理论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②201 英语一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③303 数学三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④814 管理学综合（微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观经济学、管理学） </w:t>
            </w:r>
          </w:p>
        </w:tc>
        <w:tc>
          <w:tcPr>
            <w:tcW w:w="3285" w:type="dxa"/>
          </w:tcPr>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复试笔试课程：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①营销与物流管理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同等学力加试：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①统计学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②组织行为学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tcPr>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1256 工程管理</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 xml:space="preserve">营销与物流管理学院 </w:t>
            </w:r>
          </w:p>
          <w:p>
            <w:pPr>
              <w:widowControl/>
              <w:shd w:val="clear" w:color="auto" w:fill="F9F9F9"/>
              <w:spacing w:line="400" w:lineRule="exact"/>
              <w:ind w:firstLine="420" w:firstLineChars="200"/>
              <w:jc w:val="left"/>
              <w:rPr>
                <w:rFonts w:ascii="仿宋" w:hAnsi="仿宋" w:eastAsia="仿宋" w:cs="仿宋"/>
                <w:szCs w:val="21"/>
              </w:rPr>
            </w:pPr>
            <w:r>
              <w:rPr>
                <w:rFonts w:hint="eastAsia" w:ascii="仿宋" w:hAnsi="仿宋" w:eastAsia="仿宋" w:cs="仿宋"/>
                <w:szCs w:val="21"/>
              </w:rPr>
              <w:t>01 物流工程与交通运输管理</w:t>
            </w:r>
          </w:p>
          <w:p>
            <w:pPr>
              <w:widowControl/>
              <w:shd w:val="clear" w:color="auto" w:fill="F9F9F9"/>
              <w:spacing w:line="400" w:lineRule="exact"/>
              <w:ind w:firstLine="420" w:firstLineChars="200"/>
              <w:jc w:val="left"/>
              <w:rPr>
                <w:rFonts w:ascii="仿宋" w:hAnsi="仿宋" w:eastAsia="仿宋" w:cs="仿宋"/>
                <w:szCs w:val="21"/>
              </w:rPr>
            </w:pPr>
            <w:r>
              <w:rPr>
                <w:rFonts w:hint="eastAsia" w:ascii="仿宋" w:hAnsi="仿宋" w:eastAsia="仿宋" w:cs="仿宋"/>
                <w:szCs w:val="21"/>
              </w:rPr>
              <w:t>02</w:t>
            </w:r>
            <w:r>
              <w:rPr>
                <w:rFonts w:ascii="仿宋" w:hAnsi="仿宋" w:eastAsia="仿宋" w:cs="仿宋"/>
                <w:szCs w:val="21"/>
              </w:rPr>
              <w:t xml:space="preserve"> </w:t>
            </w:r>
            <w:r>
              <w:rPr>
                <w:rFonts w:hint="eastAsia" w:ascii="仿宋" w:hAnsi="仿宋" w:eastAsia="仿宋" w:cs="仿宋"/>
                <w:szCs w:val="21"/>
              </w:rPr>
              <w:t>营销与物流信息工程管理</w:t>
            </w:r>
          </w:p>
        </w:tc>
        <w:tc>
          <w:tcPr>
            <w:tcW w:w="3285" w:type="dxa"/>
          </w:tcPr>
          <w:p>
            <w:pPr>
              <w:widowControl/>
              <w:shd w:val="clear" w:color="auto" w:fill="F9F9F9"/>
              <w:adjustRightInd w:val="0"/>
              <w:snapToGrid w:val="0"/>
              <w:spacing w:line="400" w:lineRule="exact"/>
              <w:ind w:firstLine="420" w:firstLineChars="200"/>
              <w:jc w:val="left"/>
              <w:rPr>
                <w:rFonts w:ascii="仿宋" w:hAnsi="仿宋" w:eastAsia="仿宋" w:cs="仿宋"/>
                <w:szCs w:val="21"/>
              </w:rPr>
            </w:pPr>
          </w:p>
        </w:tc>
        <w:tc>
          <w:tcPr>
            <w:tcW w:w="3285" w:type="dxa"/>
          </w:tcPr>
          <w:p>
            <w:pPr>
              <w:widowControl/>
              <w:shd w:val="clear" w:color="auto" w:fill="F9F9F9"/>
              <w:adjustRightInd w:val="0"/>
              <w:snapToGrid w:val="0"/>
              <w:spacing w:line="400" w:lineRule="exact"/>
              <w:ind w:firstLine="420" w:firstLineChars="200"/>
              <w:jc w:val="left"/>
              <w:rPr>
                <w:rFonts w:ascii="仿宋" w:hAnsi="仿宋" w:eastAsia="仿宋" w:cs="仿宋"/>
                <w:szCs w:val="21"/>
              </w:rPr>
            </w:pPr>
          </w:p>
        </w:tc>
      </w:tr>
    </w:tbl>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参考书目：</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120202企业管理</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初试：《西方经济学》（宏观部分、微观部分）（第六版），高鸿业，中国人民大学出版社，</w:t>
      </w:r>
      <w:r>
        <w:rPr>
          <w:rFonts w:ascii="仿宋" w:hAnsi="仿宋" w:eastAsia="仿宋" w:cs="仿宋"/>
          <w:szCs w:val="21"/>
        </w:rPr>
        <w:t>2014</w:t>
      </w:r>
      <w:r>
        <w:rPr>
          <w:rFonts w:hint="eastAsia" w:ascii="仿宋" w:hAnsi="仿宋" w:eastAsia="仿宋" w:cs="仿宋"/>
          <w:szCs w:val="21"/>
        </w:rPr>
        <w:t>；</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复试：《市场营销》，乔均主编，清华大学出版社，2010年。</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1202Z</w:t>
      </w:r>
      <w:r>
        <w:rPr>
          <w:rFonts w:hint="eastAsia" w:ascii="仿宋" w:hAnsi="仿宋" w:eastAsia="仿宋" w:cs="仿宋"/>
          <w:szCs w:val="21"/>
        </w:rPr>
        <w:t>1营销与物流管理</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初试：《西方经济学》（微观部分）（第六版），高鸿业，中国人民大学出版社，</w:t>
      </w:r>
      <w:r>
        <w:rPr>
          <w:rFonts w:ascii="仿宋" w:hAnsi="仿宋" w:eastAsia="仿宋" w:cs="仿宋"/>
          <w:szCs w:val="21"/>
        </w:rPr>
        <w:t>2014</w:t>
      </w:r>
      <w:r>
        <w:rPr>
          <w:rFonts w:hint="eastAsia" w:ascii="仿宋" w:hAnsi="仿宋" w:eastAsia="仿宋" w:cs="仿宋"/>
          <w:szCs w:val="21"/>
        </w:rPr>
        <w:t>；</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《管理学：原理与方法》（第六版），周三多，陈传明，贾良定，复旦大学出版社，</w:t>
      </w:r>
      <w:r>
        <w:rPr>
          <w:rFonts w:ascii="仿宋" w:hAnsi="仿宋" w:eastAsia="仿宋" w:cs="仿宋"/>
          <w:szCs w:val="21"/>
        </w:rPr>
        <w:t>2014</w:t>
      </w:r>
      <w:r>
        <w:rPr>
          <w:rFonts w:hint="eastAsia" w:ascii="仿宋" w:hAnsi="仿宋" w:eastAsia="仿宋" w:cs="仿宋"/>
          <w:szCs w:val="21"/>
        </w:rPr>
        <w:t>；</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复试：《现代物流管理》李严峰，张丽娟主编，东北财经大学出版，2010年。</w:t>
      </w:r>
    </w:p>
    <w:p>
      <w:pPr>
        <w:widowControl/>
        <w:shd w:val="clear" w:color="auto" w:fill="F9F9F9"/>
        <w:adjustRightInd w:val="0"/>
        <w:snapToGrid w:val="0"/>
        <w:jc w:val="left"/>
        <w:rPr>
          <w:rFonts w:ascii="微软雅黑" w:hAnsi="微软雅黑" w:eastAsia="微软雅黑"/>
          <w:b/>
          <w:bCs/>
          <w:color w:val="FFFFFF"/>
          <w:sz w:val="24"/>
          <w:shd w:val="clear" w:color="auto" w:fill="0070C0"/>
        </w:rPr>
      </w:pPr>
      <w:r>
        <w:rPr>
          <w:rFonts w:hint="eastAsia" w:ascii="微软雅黑" w:hAnsi="微软雅黑" w:eastAsia="微软雅黑"/>
          <w:b/>
          <w:bCs/>
          <w:color w:val="FFFFFF"/>
          <w:sz w:val="24"/>
          <w:shd w:val="clear" w:color="auto" w:fill="0070C0"/>
        </w:rPr>
        <w:t xml:space="preserve">【咨询方式】 </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联系人： 范老师</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联系电话： 025-</w:t>
      </w:r>
      <w:r>
        <w:rPr>
          <w:rFonts w:ascii="仿宋" w:hAnsi="仿宋" w:eastAsia="仿宋" w:cs="仿宋"/>
          <w:szCs w:val="21"/>
        </w:rPr>
        <w:t>8671</w:t>
      </w:r>
      <w:r>
        <w:rPr>
          <w:rFonts w:hint="eastAsia" w:ascii="仿宋" w:hAnsi="仿宋" w:eastAsia="仿宋" w:cs="仿宋"/>
          <w:szCs w:val="21"/>
        </w:rPr>
        <w:t>8480</w:t>
      </w:r>
    </w:p>
    <w:p>
      <w:pPr>
        <w:widowControl/>
        <w:shd w:val="clear" w:color="auto" w:fill="F9F9F9"/>
        <w:adjustRightInd w:val="0"/>
        <w:snapToGrid w:val="0"/>
        <w:spacing w:line="400" w:lineRule="exact"/>
        <w:ind w:firstLine="420" w:firstLineChars="200"/>
        <w:jc w:val="left"/>
        <w:rPr>
          <w:rFonts w:ascii="仿宋" w:hAnsi="仿宋" w:eastAsia="仿宋" w:cs="仿宋"/>
          <w:szCs w:val="21"/>
        </w:rPr>
      </w:pPr>
      <w:r>
        <w:rPr>
          <w:rFonts w:hint="eastAsia" w:ascii="仿宋" w:hAnsi="仿宋" w:eastAsia="仿宋" w:cs="仿宋"/>
          <w:szCs w:val="21"/>
        </w:rPr>
        <w:t>地址：南京市栖霞区文苑路3号 南京财经大学德业楼507办公室</w:t>
      </w:r>
    </w:p>
    <w:sectPr>
      <w:headerReference r:id="rId3" w:type="default"/>
      <w:footerReference r:id="rId4" w:type="default"/>
      <w:pgSz w:w="11906" w:h="16838"/>
      <w:pgMar w:top="1134" w:right="1134" w:bottom="993"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5804345"/>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rPr>
        <w:color w:val="33339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Ansi="Courier New"/>
        <w:b/>
        <w:sz w:val="32"/>
        <w:szCs w:val="20"/>
      </w:rPr>
      <w:drawing>
        <wp:inline distT="0" distB="0" distL="0" distR="0">
          <wp:extent cx="1973580" cy="6019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73580" cy="601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64"/>
    <w:rsid w:val="0000330B"/>
    <w:rsid w:val="000076D3"/>
    <w:rsid w:val="00013411"/>
    <w:rsid w:val="00034ED0"/>
    <w:rsid w:val="00037FD0"/>
    <w:rsid w:val="00063AD1"/>
    <w:rsid w:val="00075A42"/>
    <w:rsid w:val="00075BA0"/>
    <w:rsid w:val="0007643E"/>
    <w:rsid w:val="00080A5E"/>
    <w:rsid w:val="00083436"/>
    <w:rsid w:val="00093AC1"/>
    <w:rsid w:val="00093E85"/>
    <w:rsid w:val="000C43D5"/>
    <w:rsid w:val="000C6E04"/>
    <w:rsid w:val="000E41BF"/>
    <w:rsid w:val="00105497"/>
    <w:rsid w:val="001155EA"/>
    <w:rsid w:val="001227B4"/>
    <w:rsid w:val="00122882"/>
    <w:rsid w:val="00127405"/>
    <w:rsid w:val="00133216"/>
    <w:rsid w:val="00134C23"/>
    <w:rsid w:val="0016564C"/>
    <w:rsid w:val="00167A25"/>
    <w:rsid w:val="00185379"/>
    <w:rsid w:val="001A1CD7"/>
    <w:rsid w:val="001A65C9"/>
    <w:rsid w:val="001A7C4C"/>
    <w:rsid w:val="001C2A3E"/>
    <w:rsid w:val="001C2BC8"/>
    <w:rsid w:val="001D18C6"/>
    <w:rsid w:val="001D7A13"/>
    <w:rsid w:val="001F5956"/>
    <w:rsid w:val="00202C90"/>
    <w:rsid w:val="00212C30"/>
    <w:rsid w:val="002178B7"/>
    <w:rsid w:val="00227076"/>
    <w:rsid w:val="00231F8A"/>
    <w:rsid w:val="00235521"/>
    <w:rsid w:val="00247528"/>
    <w:rsid w:val="0025598B"/>
    <w:rsid w:val="002637A9"/>
    <w:rsid w:val="00285AE3"/>
    <w:rsid w:val="00286A9D"/>
    <w:rsid w:val="00291ACA"/>
    <w:rsid w:val="00292AD5"/>
    <w:rsid w:val="00294A38"/>
    <w:rsid w:val="002A274B"/>
    <w:rsid w:val="002A5202"/>
    <w:rsid w:val="002A6F4E"/>
    <w:rsid w:val="002C281E"/>
    <w:rsid w:val="002D3CEB"/>
    <w:rsid w:val="002D43D2"/>
    <w:rsid w:val="002E1B02"/>
    <w:rsid w:val="002E5010"/>
    <w:rsid w:val="002E7D74"/>
    <w:rsid w:val="002F3464"/>
    <w:rsid w:val="00333691"/>
    <w:rsid w:val="003341E3"/>
    <w:rsid w:val="00351665"/>
    <w:rsid w:val="00351C8F"/>
    <w:rsid w:val="00355907"/>
    <w:rsid w:val="00360FB0"/>
    <w:rsid w:val="00366AA6"/>
    <w:rsid w:val="00374092"/>
    <w:rsid w:val="00377A79"/>
    <w:rsid w:val="003B10A4"/>
    <w:rsid w:val="003B3D59"/>
    <w:rsid w:val="003C09C8"/>
    <w:rsid w:val="003F799E"/>
    <w:rsid w:val="00406E10"/>
    <w:rsid w:val="00413643"/>
    <w:rsid w:val="00425673"/>
    <w:rsid w:val="00431E4C"/>
    <w:rsid w:val="0043720E"/>
    <w:rsid w:val="00461B28"/>
    <w:rsid w:val="004644DB"/>
    <w:rsid w:val="00465495"/>
    <w:rsid w:val="00476ACD"/>
    <w:rsid w:val="004A29A4"/>
    <w:rsid w:val="004B4476"/>
    <w:rsid w:val="004B44DB"/>
    <w:rsid w:val="004B7373"/>
    <w:rsid w:val="004C1BF0"/>
    <w:rsid w:val="004F153B"/>
    <w:rsid w:val="004F20B9"/>
    <w:rsid w:val="004F2BAF"/>
    <w:rsid w:val="004F6855"/>
    <w:rsid w:val="00505A64"/>
    <w:rsid w:val="00507FAC"/>
    <w:rsid w:val="005131A1"/>
    <w:rsid w:val="00513AD7"/>
    <w:rsid w:val="005211B9"/>
    <w:rsid w:val="00532636"/>
    <w:rsid w:val="00547E50"/>
    <w:rsid w:val="00551B6F"/>
    <w:rsid w:val="0055214E"/>
    <w:rsid w:val="00562951"/>
    <w:rsid w:val="00580ECF"/>
    <w:rsid w:val="0058111C"/>
    <w:rsid w:val="0059502F"/>
    <w:rsid w:val="005A1865"/>
    <w:rsid w:val="005B0395"/>
    <w:rsid w:val="005C3669"/>
    <w:rsid w:val="005E770B"/>
    <w:rsid w:val="005F47A3"/>
    <w:rsid w:val="005F5958"/>
    <w:rsid w:val="005F5C66"/>
    <w:rsid w:val="00612E9B"/>
    <w:rsid w:val="00621787"/>
    <w:rsid w:val="00622524"/>
    <w:rsid w:val="0062600A"/>
    <w:rsid w:val="0063125A"/>
    <w:rsid w:val="00641EBF"/>
    <w:rsid w:val="006441D6"/>
    <w:rsid w:val="00645DA8"/>
    <w:rsid w:val="00652451"/>
    <w:rsid w:val="006556D3"/>
    <w:rsid w:val="006559BB"/>
    <w:rsid w:val="006663AA"/>
    <w:rsid w:val="00680CD7"/>
    <w:rsid w:val="00681115"/>
    <w:rsid w:val="006A4C88"/>
    <w:rsid w:val="006A501C"/>
    <w:rsid w:val="006A5DCE"/>
    <w:rsid w:val="006B2B09"/>
    <w:rsid w:val="006C6FFA"/>
    <w:rsid w:val="006D0B10"/>
    <w:rsid w:val="006D78D0"/>
    <w:rsid w:val="006E59B2"/>
    <w:rsid w:val="006F13CC"/>
    <w:rsid w:val="006F5F51"/>
    <w:rsid w:val="007105BA"/>
    <w:rsid w:val="00711286"/>
    <w:rsid w:val="00732740"/>
    <w:rsid w:val="00753E1C"/>
    <w:rsid w:val="007929A5"/>
    <w:rsid w:val="007A043C"/>
    <w:rsid w:val="007A2260"/>
    <w:rsid w:val="007B16EC"/>
    <w:rsid w:val="007E0417"/>
    <w:rsid w:val="007E1621"/>
    <w:rsid w:val="007F369F"/>
    <w:rsid w:val="008043EB"/>
    <w:rsid w:val="00811483"/>
    <w:rsid w:val="00813416"/>
    <w:rsid w:val="00817F13"/>
    <w:rsid w:val="00855733"/>
    <w:rsid w:val="00863BE2"/>
    <w:rsid w:val="0086694F"/>
    <w:rsid w:val="00866C7A"/>
    <w:rsid w:val="00874190"/>
    <w:rsid w:val="008A5FBB"/>
    <w:rsid w:val="008A6010"/>
    <w:rsid w:val="008B0FCC"/>
    <w:rsid w:val="008B45C8"/>
    <w:rsid w:val="008C45D0"/>
    <w:rsid w:val="008F5685"/>
    <w:rsid w:val="00905742"/>
    <w:rsid w:val="00914498"/>
    <w:rsid w:val="009234A3"/>
    <w:rsid w:val="0092770B"/>
    <w:rsid w:val="00936704"/>
    <w:rsid w:val="00940922"/>
    <w:rsid w:val="00955BDB"/>
    <w:rsid w:val="00965016"/>
    <w:rsid w:val="00965814"/>
    <w:rsid w:val="009761A9"/>
    <w:rsid w:val="009842A1"/>
    <w:rsid w:val="00985C02"/>
    <w:rsid w:val="009A4F0C"/>
    <w:rsid w:val="009A55B9"/>
    <w:rsid w:val="009B2EA9"/>
    <w:rsid w:val="009B7D97"/>
    <w:rsid w:val="009C790A"/>
    <w:rsid w:val="009D2588"/>
    <w:rsid w:val="009D3042"/>
    <w:rsid w:val="00A02C6F"/>
    <w:rsid w:val="00A0667E"/>
    <w:rsid w:val="00A111CC"/>
    <w:rsid w:val="00A11710"/>
    <w:rsid w:val="00A11CB0"/>
    <w:rsid w:val="00A23EF7"/>
    <w:rsid w:val="00A3779E"/>
    <w:rsid w:val="00A600B1"/>
    <w:rsid w:val="00A72A70"/>
    <w:rsid w:val="00A812A3"/>
    <w:rsid w:val="00A834B4"/>
    <w:rsid w:val="00A97FEB"/>
    <w:rsid w:val="00AA1F7A"/>
    <w:rsid w:val="00AC35C7"/>
    <w:rsid w:val="00AC477F"/>
    <w:rsid w:val="00AD1D64"/>
    <w:rsid w:val="00AE0410"/>
    <w:rsid w:val="00AE0736"/>
    <w:rsid w:val="00AE57B5"/>
    <w:rsid w:val="00AE59A2"/>
    <w:rsid w:val="00AE6C43"/>
    <w:rsid w:val="00AF1A70"/>
    <w:rsid w:val="00AF23A9"/>
    <w:rsid w:val="00B23E02"/>
    <w:rsid w:val="00B26DD6"/>
    <w:rsid w:val="00B377B0"/>
    <w:rsid w:val="00B4557E"/>
    <w:rsid w:val="00B526AC"/>
    <w:rsid w:val="00B531F2"/>
    <w:rsid w:val="00B61054"/>
    <w:rsid w:val="00B61675"/>
    <w:rsid w:val="00B64D44"/>
    <w:rsid w:val="00B7372B"/>
    <w:rsid w:val="00B73C4D"/>
    <w:rsid w:val="00B9316D"/>
    <w:rsid w:val="00B96BE0"/>
    <w:rsid w:val="00B976EF"/>
    <w:rsid w:val="00BB1C04"/>
    <w:rsid w:val="00BC066F"/>
    <w:rsid w:val="00BC088C"/>
    <w:rsid w:val="00BE23E9"/>
    <w:rsid w:val="00BF1555"/>
    <w:rsid w:val="00BF4166"/>
    <w:rsid w:val="00BF47C7"/>
    <w:rsid w:val="00C00C2B"/>
    <w:rsid w:val="00C0724F"/>
    <w:rsid w:val="00C07DA7"/>
    <w:rsid w:val="00C117AD"/>
    <w:rsid w:val="00C2352A"/>
    <w:rsid w:val="00C24DE8"/>
    <w:rsid w:val="00C26443"/>
    <w:rsid w:val="00C30D43"/>
    <w:rsid w:val="00C33994"/>
    <w:rsid w:val="00C478F0"/>
    <w:rsid w:val="00C52D3F"/>
    <w:rsid w:val="00C84C79"/>
    <w:rsid w:val="00C944BB"/>
    <w:rsid w:val="00C94F89"/>
    <w:rsid w:val="00C96743"/>
    <w:rsid w:val="00CA10A4"/>
    <w:rsid w:val="00CB1300"/>
    <w:rsid w:val="00CB18F8"/>
    <w:rsid w:val="00CB308D"/>
    <w:rsid w:val="00CB53C8"/>
    <w:rsid w:val="00CB6571"/>
    <w:rsid w:val="00CB7278"/>
    <w:rsid w:val="00CC5A6C"/>
    <w:rsid w:val="00CC7CBC"/>
    <w:rsid w:val="00CD013A"/>
    <w:rsid w:val="00CD77DD"/>
    <w:rsid w:val="00CE1460"/>
    <w:rsid w:val="00CF41B0"/>
    <w:rsid w:val="00D32889"/>
    <w:rsid w:val="00D32C22"/>
    <w:rsid w:val="00D440C5"/>
    <w:rsid w:val="00D44E9A"/>
    <w:rsid w:val="00D83AC2"/>
    <w:rsid w:val="00D96EC5"/>
    <w:rsid w:val="00DA3B99"/>
    <w:rsid w:val="00DA618A"/>
    <w:rsid w:val="00DA7B1D"/>
    <w:rsid w:val="00DB294B"/>
    <w:rsid w:val="00DB369E"/>
    <w:rsid w:val="00DC47FA"/>
    <w:rsid w:val="00DD367A"/>
    <w:rsid w:val="00DE35F3"/>
    <w:rsid w:val="00DF0BA3"/>
    <w:rsid w:val="00DF6DEC"/>
    <w:rsid w:val="00E14BF1"/>
    <w:rsid w:val="00E15A21"/>
    <w:rsid w:val="00E2228C"/>
    <w:rsid w:val="00E2259F"/>
    <w:rsid w:val="00E25CEE"/>
    <w:rsid w:val="00E2696F"/>
    <w:rsid w:val="00E364FE"/>
    <w:rsid w:val="00E37874"/>
    <w:rsid w:val="00E438B5"/>
    <w:rsid w:val="00E4401A"/>
    <w:rsid w:val="00E56C6F"/>
    <w:rsid w:val="00E638AB"/>
    <w:rsid w:val="00E81015"/>
    <w:rsid w:val="00E87679"/>
    <w:rsid w:val="00E95A8A"/>
    <w:rsid w:val="00E97418"/>
    <w:rsid w:val="00E97A81"/>
    <w:rsid w:val="00EA45C5"/>
    <w:rsid w:val="00EB03E8"/>
    <w:rsid w:val="00EB6315"/>
    <w:rsid w:val="00EE4CB0"/>
    <w:rsid w:val="00F05FEF"/>
    <w:rsid w:val="00F22E51"/>
    <w:rsid w:val="00F27050"/>
    <w:rsid w:val="00F333FC"/>
    <w:rsid w:val="00F40AC3"/>
    <w:rsid w:val="00F50C76"/>
    <w:rsid w:val="00F544C5"/>
    <w:rsid w:val="00F56EDE"/>
    <w:rsid w:val="00F848E3"/>
    <w:rsid w:val="00FA217C"/>
    <w:rsid w:val="00FA2D66"/>
    <w:rsid w:val="00FA40E8"/>
    <w:rsid w:val="00FB5A96"/>
    <w:rsid w:val="00FB66E2"/>
    <w:rsid w:val="00FD2266"/>
    <w:rsid w:val="00FD5E6C"/>
    <w:rsid w:val="00FD5F64"/>
    <w:rsid w:val="00FF242C"/>
    <w:rsid w:val="017D0D64"/>
    <w:rsid w:val="0AD517FF"/>
    <w:rsid w:val="11376410"/>
    <w:rsid w:val="123C24E9"/>
    <w:rsid w:val="143F6A2B"/>
    <w:rsid w:val="297F1327"/>
    <w:rsid w:val="2BB2148C"/>
    <w:rsid w:val="367B6961"/>
    <w:rsid w:val="3A0E25FC"/>
    <w:rsid w:val="3DAF358C"/>
    <w:rsid w:val="3F110DED"/>
    <w:rsid w:val="40884EAA"/>
    <w:rsid w:val="42936F0D"/>
    <w:rsid w:val="445B4307"/>
    <w:rsid w:val="48A104BD"/>
    <w:rsid w:val="496A5963"/>
    <w:rsid w:val="4CD64D70"/>
    <w:rsid w:val="553A40BC"/>
    <w:rsid w:val="61682942"/>
    <w:rsid w:val="64411DB4"/>
    <w:rsid w:val="676B5CAB"/>
    <w:rsid w:val="7A2D2EA9"/>
    <w:rsid w:val="7E633E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line="240" w:lineRule="atLeast"/>
      <w:jc w:val="left"/>
    </w:pPr>
    <w:rPr>
      <w:rFonts w:ascii="宋体" w:hAnsi="宋体"/>
      <w:color w:val="333366"/>
      <w:kern w:val="0"/>
      <w:sz w:val="18"/>
      <w:szCs w:val="18"/>
    </w:rPr>
  </w:style>
  <w:style w:type="character" w:styleId="7">
    <w:name w:val="Hyperlink"/>
    <w:basedOn w:val="6"/>
    <w:qFormat/>
    <w:uiPriority w:val="0"/>
    <w:rPr>
      <w:color w:val="333666"/>
      <w:u w:val="non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脚 Char"/>
    <w:basedOn w:val="6"/>
    <w:link w:val="3"/>
    <w:qFormat/>
    <w:uiPriority w:val="99"/>
    <w:rPr>
      <w:rFonts w:ascii="Times New Roman" w:hAnsi="Times New Roman" w:eastAsia="宋体" w:cs="Times New Roman"/>
      <w:sz w:val="18"/>
      <w:szCs w:val="18"/>
    </w:rPr>
  </w:style>
  <w:style w:type="character" w:customStyle="1" w:styleId="11">
    <w:name w:val="页眉 Char"/>
    <w:basedOn w:val="6"/>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njue</Company>
  <Pages>4</Pages>
  <Words>542</Words>
  <Characters>3091</Characters>
  <Lines>25</Lines>
  <Paragraphs>7</Paragraphs>
  <TotalTime>1</TotalTime>
  <ScaleCrop>false</ScaleCrop>
  <LinksUpToDate>false</LinksUpToDate>
  <CharactersWithSpaces>3626</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2019-09-26T03:17:00Z</dcterms:created>
  <dc:creator>sun</dc:creator>
  <cp:lastModifiedBy>林</cp:lastModifiedBy>
  <dcterms:modified xsi:type="dcterms:W3CDTF">2019-09-26T07:10:05Z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