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261"/>
        <w:gridCol w:w="4261"/>
      </w:tblGrid>
      <w:tr w:rsidR="009321D0" w:rsidTr="009227D7">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1D0" w:rsidRDefault="009321D0" w:rsidP="009227D7">
            <w:r>
              <w:rPr>
                <w:rFonts w:ascii="宋体" w:hAnsi="宋体" w:hint="eastAsia"/>
                <w:b/>
                <w:bCs/>
                <w:sz w:val="28"/>
                <w:szCs w:val="28"/>
              </w:rPr>
              <w:t>学科、专业名称</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1D0" w:rsidRDefault="009321D0" w:rsidP="009227D7">
            <w:r>
              <w:rPr>
                <w:rFonts w:ascii="宋体" w:hAnsi="宋体" w:hint="eastAsia"/>
                <w:b/>
                <w:bCs/>
                <w:sz w:val="28"/>
                <w:szCs w:val="28"/>
              </w:rPr>
              <w:t>金融</w:t>
            </w:r>
          </w:p>
        </w:tc>
      </w:tr>
      <w:tr w:rsidR="009321D0" w:rsidTr="009227D7">
        <w:tc>
          <w:tcPr>
            <w:tcW w:w="85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1D0" w:rsidRDefault="009321D0" w:rsidP="009227D7">
            <w:pPr>
              <w:ind w:left="1680" w:hanging="1680"/>
            </w:pPr>
            <w:r>
              <w:rPr>
                <w:rFonts w:ascii="宋体" w:hAnsi="宋体" w:hint="eastAsia"/>
              </w:rPr>
              <w:t>学科、专业简介（导师、研究方向及其特色、学术地位、研究成果、在研项目、课程设置、就业去向等方面）：</w:t>
            </w:r>
          </w:p>
          <w:p w:rsidR="009321D0" w:rsidRDefault="009321D0" w:rsidP="009227D7">
            <w:pPr>
              <w:jc w:val="left"/>
            </w:pPr>
            <w:r>
              <w:rPr>
                <w:rFonts w:ascii="宋体" w:hAnsi="宋体" w:hint="eastAsia"/>
                <w:caps/>
              </w:rPr>
              <w:t>（一）培养目标</w:t>
            </w:r>
          </w:p>
          <w:p w:rsidR="009321D0" w:rsidRDefault="009321D0" w:rsidP="009227D7">
            <w:pPr>
              <w:ind w:left="210" w:firstLine="420"/>
              <w:jc w:val="left"/>
            </w:pPr>
            <w:r>
              <w:rPr>
                <w:rFonts w:ascii="宋体" w:hAnsi="宋体" w:hint="eastAsia"/>
              </w:rPr>
              <w:t>上海师范大学金融硕士专业学位以金融学类专业的人才培养为主体，以中美和中法合作办学为特色。旨在培养具备良好的职业道德、社会责任与全球视野，系统掌握金融专业知识，熟悉国内外金融专业实务，具备全面金融管理技术，擅长金融量化分析与计算，能够胜任政府金融投资管理部门、微观金融机构以及各类企事业单位中专业技术工作的高层次复合型金融管理应用技术人才。</w:t>
            </w:r>
          </w:p>
          <w:p w:rsidR="009321D0" w:rsidRDefault="009321D0" w:rsidP="009227D7">
            <w:r>
              <w:rPr>
                <w:rFonts w:ascii="宋体" w:hAnsi="宋体" w:hint="eastAsia"/>
              </w:rPr>
              <w:t>（二）研究方向</w:t>
            </w:r>
          </w:p>
          <w:p w:rsidR="009321D0" w:rsidRDefault="009321D0" w:rsidP="009227D7">
            <w:pPr>
              <w:ind w:left="210" w:firstLine="420"/>
            </w:pPr>
            <w:r>
              <w:rPr>
                <w:rFonts w:ascii="宋体" w:hAnsi="宋体" w:hint="eastAsia"/>
              </w:rPr>
              <w:t>本专业设置的研究方向有：</w:t>
            </w:r>
          </w:p>
          <w:p w:rsidR="009321D0" w:rsidRDefault="009321D0" w:rsidP="009227D7">
            <w:pPr>
              <w:ind w:left="420"/>
            </w:pPr>
            <w:r>
              <w:t>1.</w:t>
            </w:r>
            <w:r>
              <w:rPr>
                <w:sz w:val="14"/>
                <w:szCs w:val="14"/>
              </w:rPr>
              <w:t xml:space="preserve">         </w:t>
            </w:r>
            <w:r>
              <w:rPr>
                <w:rFonts w:ascii="宋体" w:hAnsi="宋体" w:hint="eastAsia"/>
                <w:caps/>
                <w:sz w:val="22"/>
                <w:szCs w:val="22"/>
                <w:highlight w:val="yellow"/>
              </w:rPr>
              <w:t>金融数据分析</w:t>
            </w:r>
          </w:p>
          <w:p w:rsidR="009321D0" w:rsidRDefault="009321D0" w:rsidP="009227D7">
            <w:pPr>
              <w:ind w:left="420"/>
            </w:pPr>
            <w:r>
              <w:t>2.</w:t>
            </w:r>
            <w:r>
              <w:rPr>
                <w:sz w:val="14"/>
                <w:szCs w:val="14"/>
              </w:rPr>
              <w:t xml:space="preserve">         </w:t>
            </w:r>
            <w:r>
              <w:rPr>
                <w:rFonts w:ascii="宋体" w:hAnsi="宋体" w:hint="eastAsia"/>
                <w:caps/>
                <w:sz w:val="22"/>
                <w:szCs w:val="22"/>
              </w:rPr>
              <w:t>金融风险管理</w:t>
            </w:r>
          </w:p>
          <w:p w:rsidR="009321D0" w:rsidRDefault="009321D0" w:rsidP="009227D7">
            <w:pPr>
              <w:ind w:left="420"/>
            </w:pPr>
            <w:r>
              <w:t>3.</w:t>
            </w:r>
            <w:r>
              <w:rPr>
                <w:sz w:val="14"/>
                <w:szCs w:val="14"/>
              </w:rPr>
              <w:t xml:space="preserve">         </w:t>
            </w:r>
            <w:r>
              <w:rPr>
                <w:rFonts w:ascii="宋体" w:hAnsi="宋体" w:hint="eastAsia"/>
                <w:caps/>
                <w:sz w:val="22"/>
                <w:szCs w:val="22"/>
                <w:highlight w:val="yellow"/>
              </w:rPr>
              <w:t>投资管理</w:t>
            </w:r>
          </w:p>
          <w:p w:rsidR="009321D0" w:rsidRDefault="009321D0" w:rsidP="009227D7">
            <w:r>
              <w:rPr>
                <w:rFonts w:ascii="宋体" w:hAnsi="宋体" w:hint="eastAsia"/>
              </w:rPr>
              <w:t>（三）课程设置和学分</w:t>
            </w:r>
          </w:p>
          <w:p w:rsidR="009321D0" w:rsidRDefault="009321D0" w:rsidP="009227D7">
            <w:pPr>
              <w:ind w:left="840" w:hanging="420"/>
            </w:pPr>
            <w:r>
              <w:t xml:space="preserve">1. </w:t>
            </w:r>
            <w:r>
              <w:rPr>
                <w:rFonts w:ascii="宋体" w:hAnsi="宋体" w:hint="eastAsia"/>
              </w:rPr>
              <w:t>本专业实行学分制，本专业硕士研究生至少应取得</w:t>
            </w:r>
            <w:r>
              <w:rPr>
                <w:rFonts w:ascii="Calibri" w:hAnsi="Calibri"/>
              </w:rPr>
              <w:t>33</w:t>
            </w:r>
            <w:r>
              <w:rPr>
                <w:rFonts w:ascii="宋体" w:hAnsi="宋体" w:hint="eastAsia"/>
              </w:rPr>
              <w:t>学分，方可申请硕士学位。</w:t>
            </w:r>
          </w:p>
          <w:p w:rsidR="009321D0" w:rsidRDefault="009321D0" w:rsidP="009227D7">
            <w:pPr>
              <w:ind w:left="840" w:hanging="420"/>
            </w:pPr>
            <w:r>
              <w:t xml:space="preserve">2. </w:t>
            </w:r>
            <w:r>
              <w:rPr>
                <w:rFonts w:ascii="宋体" w:hAnsi="宋体" w:hint="eastAsia"/>
              </w:rPr>
              <w:t>课程设置分为学位公共课，专业必修课，</w:t>
            </w:r>
            <w:r w:rsidR="00DE4524" w:rsidRPr="00DE4524">
              <w:rPr>
                <w:rFonts w:ascii="宋体" w:hAnsi="宋体" w:hint="eastAsia"/>
                <w:highlight w:val="yellow"/>
              </w:rPr>
              <w:t>公共</w:t>
            </w:r>
            <w:r>
              <w:rPr>
                <w:rFonts w:ascii="宋体" w:hAnsi="宋体" w:hint="eastAsia"/>
              </w:rPr>
              <w:t>选修课和专业选修课。其中公共课</w:t>
            </w:r>
            <w:r>
              <w:t>5</w:t>
            </w:r>
            <w:r>
              <w:rPr>
                <w:rFonts w:ascii="宋体" w:hAnsi="宋体" w:hint="eastAsia"/>
              </w:rPr>
              <w:t>学分，专业必修课</w:t>
            </w:r>
            <w:r>
              <w:t>12</w:t>
            </w:r>
            <w:r>
              <w:rPr>
                <w:rFonts w:ascii="宋体" w:hAnsi="宋体" w:hint="eastAsia"/>
              </w:rPr>
              <w:t>学分，</w:t>
            </w:r>
            <w:r>
              <w:rPr>
                <w:rFonts w:ascii="宋体" w:hAnsi="宋体" w:hint="eastAsia"/>
                <w:highlight w:val="yellow"/>
              </w:rPr>
              <w:t>公共选修课</w:t>
            </w:r>
            <w:r>
              <w:rPr>
                <w:highlight w:val="yellow"/>
              </w:rPr>
              <w:t>4</w:t>
            </w:r>
            <w:r>
              <w:rPr>
                <w:rFonts w:ascii="宋体" w:hAnsi="宋体" w:hint="eastAsia"/>
                <w:highlight w:val="yellow"/>
              </w:rPr>
              <w:t>学分</w:t>
            </w:r>
            <w:r>
              <w:rPr>
                <w:rFonts w:ascii="宋体" w:hAnsi="宋体" w:hint="eastAsia"/>
              </w:rPr>
              <w:t>，专业选修课为</w:t>
            </w:r>
            <w:r>
              <w:rPr>
                <w:rFonts w:ascii="Calibri" w:hAnsi="Calibri"/>
                <w:highlight w:val="yellow"/>
              </w:rPr>
              <w:t>12</w:t>
            </w:r>
            <w:r>
              <w:rPr>
                <w:rFonts w:ascii="宋体" w:hAnsi="宋体" w:hint="eastAsia"/>
              </w:rPr>
              <w:t>学分；</w:t>
            </w:r>
          </w:p>
          <w:p w:rsidR="009321D0" w:rsidRDefault="009321D0" w:rsidP="009227D7">
            <w:pPr>
              <w:ind w:left="840" w:hanging="420"/>
            </w:pPr>
            <w:r>
              <w:t xml:space="preserve">3. </w:t>
            </w:r>
            <w:r>
              <w:rPr>
                <w:rFonts w:ascii="宋体" w:hAnsi="宋体" w:hint="eastAsia"/>
              </w:rPr>
              <w:t>以同等学力考入的研究生，要补修有关的大学本科基础课程</w:t>
            </w:r>
            <w:r>
              <w:t>3</w:t>
            </w:r>
            <w:r>
              <w:rPr>
                <w:rFonts w:ascii="宋体" w:hAnsi="宋体" w:hint="eastAsia"/>
              </w:rPr>
              <w:t>门；跨学科或基础理论或专业知识有着某方面的缺陷、需要入学后进行适当补课的研究生，要补修相关学科的本科课程，均不计学分。</w:t>
            </w:r>
          </w:p>
          <w:p w:rsidR="009321D0" w:rsidRDefault="009321D0" w:rsidP="009227D7">
            <w:pPr>
              <w:ind w:left="840" w:hanging="420"/>
            </w:pPr>
            <w:r>
              <w:rPr>
                <w:rFonts w:ascii="Calibri" w:hAnsi="Calibri"/>
                <w:highlight w:val="yellow"/>
              </w:rPr>
              <w:t xml:space="preserve">4. </w:t>
            </w:r>
            <w:r>
              <w:rPr>
                <w:rFonts w:ascii="宋体" w:hAnsi="宋体" w:hint="eastAsia"/>
                <w:highlight w:val="yellow"/>
              </w:rPr>
              <w:t>在金融机构或政府及企事业单位的金融工作岗位实习不少于</w:t>
            </w:r>
            <w:r>
              <w:rPr>
                <w:rFonts w:ascii="Calibri" w:hAnsi="Calibri"/>
                <w:highlight w:val="yellow"/>
              </w:rPr>
              <w:t>3</w:t>
            </w:r>
            <w:r>
              <w:rPr>
                <w:rFonts w:ascii="宋体" w:hAnsi="宋体" w:hint="eastAsia"/>
                <w:highlight w:val="yellow"/>
              </w:rPr>
              <w:t>个月。</w:t>
            </w:r>
          </w:p>
          <w:p w:rsidR="009321D0" w:rsidRDefault="009321D0" w:rsidP="009227D7">
            <w:r>
              <w:rPr>
                <w:rFonts w:ascii="宋体" w:hAnsi="宋体" w:hint="eastAsia"/>
              </w:rPr>
              <w:t>（四）教学和培养方式</w:t>
            </w:r>
          </w:p>
          <w:p w:rsidR="009321D0" w:rsidRDefault="009321D0" w:rsidP="009227D7">
            <w:pPr>
              <w:ind w:left="420"/>
              <w:jc w:val="left"/>
            </w:pPr>
            <w:r>
              <w:rPr>
                <w:rFonts w:ascii="Cambria" w:hAnsi="Cambria"/>
                <w:caps/>
              </w:rPr>
              <w:t xml:space="preserve">1. </w:t>
            </w:r>
            <w:r>
              <w:rPr>
                <w:rFonts w:ascii="宋体" w:hAnsi="宋体" w:hint="eastAsia"/>
                <w:caps/>
              </w:rPr>
              <w:t>培养要点</w:t>
            </w:r>
          </w:p>
          <w:p w:rsidR="009321D0" w:rsidRDefault="009321D0" w:rsidP="009227D7">
            <w:pPr>
              <w:ind w:left="1157" w:hanging="420"/>
              <w:jc w:val="left"/>
            </w:pPr>
            <w:r>
              <w:rPr>
                <w:rFonts w:ascii="Cambria" w:hAnsi="Cambria"/>
                <w:caps/>
              </w:rPr>
              <w:t>1)</w:t>
            </w:r>
            <w:r>
              <w:rPr>
                <w:caps/>
                <w:sz w:val="14"/>
                <w:szCs w:val="14"/>
              </w:rPr>
              <w:t xml:space="preserve">        </w:t>
            </w:r>
            <w:r>
              <w:rPr>
                <w:rFonts w:ascii="宋体" w:hAnsi="宋体" w:hint="eastAsia"/>
              </w:rPr>
              <w:t>“理论学习</w:t>
            </w:r>
            <w:r>
              <w:rPr>
                <w:rFonts w:ascii="Cambria" w:hAnsi="Cambria"/>
              </w:rPr>
              <w:t>+</w:t>
            </w:r>
            <w:r>
              <w:rPr>
                <w:rFonts w:ascii="宋体" w:hAnsi="宋体" w:hint="eastAsia"/>
              </w:rPr>
              <w:t>案例教学</w:t>
            </w:r>
            <w:r>
              <w:rPr>
                <w:rFonts w:ascii="Cambria" w:hAnsi="Cambria"/>
              </w:rPr>
              <w:t>+</w:t>
            </w:r>
            <w:r>
              <w:rPr>
                <w:rFonts w:ascii="宋体" w:hAnsi="宋体" w:hint="eastAsia"/>
              </w:rPr>
              <w:t>实验教学</w:t>
            </w:r>
            <w:r>
              <w:rPr>
                <w:rFonts w:ascii="Cambria" w:hAnsi="Cambria"/>
              </w:rPr>
              <w:t>+</w:t>
            </w:r>
            <w:r>
              <w:rPr>
                <w:rFonts w:ascii="宋体" w:hAnsi="宋体" w:hint="eastAsia"/>
              </w:rPr>
              <w:t>实践教学”四维一体的培养模式。</w:t>
            </w:r>
          </w:p>
          <w:p w:rsidR="009321D0" w:rsidRDefault="009321D0" w:rsidP="009227D7">
            <w:pPr>
              <w:ind w:left="1157" w:hanging="420"/>
              <w:jc w:val="left"/>
            </w:pPr>
            <w:r>
              <w:rPr>
                <w:rFonts w:ascii="Cambria" w:hAnsi="Cambria"/>
                <w:caps/>
              </w:rPr>
              <w:t>2)</w:t>
            </w:r>
            <w:r>
              <w:rPr>
                <w:caps/>
                <w:sz w:val="14"/>
                <w:szCs w:val="14"/>
              </w:rPr>
              <w:t xml:space="preserve">        </w:t>
            </w:r>
            <w:r>
              <w:rPr>
                <w:rFonts w:ascii="宋体" w:hAnsi="宋体" w:hint="eastAsia"/>
                <w:caps/>
              </w:rPr>
              <w:t>聘请国内外应用金融教育界卓越人士及业界专家共同指导培养。</w:t>
            </w:r>
          </w:p>
          <w:p w:rsidR="009321D0" w:rsidRDefault="009321D0" w:rsidP="009227D7">
            <w:pPr>
              <w:ind w:left="1157" w:hanging="420"/>
              <w:jc w:val="left"/>
            </w:pPr>
            <w:r>
              <w:rPr>
                <w:rFonts w:ascii="Cambria" w:hAnsi="Cambria"/>
                <w:caps/>
              </w:rPr>
              <w:t>3)</w:t>
            </w:r>
            <w:r>
              <w:rPr>
                <w:caps/>
                <w:sz w:val="14"/>
                <w:szCs w:val="14"/>
              </w:rPr>
              <w:t xml:space="preserve">        </w:t>
            </w:r>
            <w:r>
              <w:rPr>
                <w:rFonts w:ascii="宋体" w:hAnsi="宋体" w:hint="eastAsia"/>
                <w:caps/>
              </w:rPr>
              <w:t>核心课程由专业教授、业界技术专家或美国大学</w:t>
            </w:r>
            <w:r>
              <w:rPr>
                <w:rFonts w:ascii="Cambria" w:hAnsi="Cambria"/>
                <w:caps/>
              </w:rPr>
              <w:t>/</w:t>
            </w:r>
            <w:r>
              <w:rPr>
                <w:rFonts w:ascii="宋体" w:hAnsi="宋体" w:hint="eastAsia"/>
                <w:caps/>
              </w:rPr>
              <w:t>法国大学教授共同轮流授课。</w:t>
            </w:r>
          </w:p>
          <w:p w:rsidR="009321D0" w:rsidRDefault="009321D0" w:rsidP="009227D7">
            <w:pPr>
              <w:ind w:left="1157" w:hanging="420"/>
              <w:jc w:val="left"/>
            </w:pPr>
            <w:r>
              <w:rPr>
                <w:rFonts w:ascii="Cambria" w:hAnsi="Cambria"/>
                <w:caps/>
              </w:rPr>
              <w:t>4)</w:t>
            </w:r>
            <w:r>
              <w:rPr>
                <w:caps/>
                <w:sz w:val="14"/>
                <w:szCs w:val="14"/>
              </w:rPr>
              <w:t xml:space="preserve">        </w:t>
            </w:r>
            <w:r>
              <w:rPr>
                <w:rFonts w:ascii="宋体" w:hAnsi="宋体" w:hint="eastAsia"/>
                <w:caps/>
              </w:rPr>
              <w:t>根据教学需要，调整教学空间（校内或金融机构）。</w:t>
            </w:r>
          </w:p>
          <w:p w:rsidR="009321D0" w:rsidRDefault="009321D0" w:rsidP="009227D7">
            <w:pPr>
              <w:ind w:left="1157" w:hanging="420"/>
              <w:jc w:val="left"/>
            </w:pPr>
            <w:r>
              <w:rPr>
                <w:rFonts w:ascii="Cambria" w:hAnsi="Cambria"/>
                <w:caps/>
              </w:rPr>
              <w:t>5)</w:t>
            </w:r>
            <w:r>
              <w:rPr>
                <w:caps/>
                <w:sz w:val="14"/>
                <w:szCs w:val="14"/>
              </w:rPr>
              <w:t xml:space="preserve">        </w:t>
            </w:r>
            <w:r>
              <w:rPr>
                <w:rFonts w:ascii="宋体" w:hAnsi="宋体" w:hint="eastAsia"/>
                <w:caps/>
              </w:rPr>
              <w:t>与美国犹他大学、北卡州立大学签署了校际合作协议，有更多更经济的留学渠道。</w:t>
            </w:r>
          </w:p>
          <w:p w:rsidR="009321D0" w:rsidRDefault="009321D0" w:rsidP="009227D7">
            <w:pPr>
              <w:ind w:left="1157" w:hanging="420"/>
              <w:jc w:val="left"/>
            </w:pPr>
            <w:r>
              <w:rPr>
                <w:rFonts w:ascii="Cambria" w:hAnsi="Cambria"/>
                <w:caps/>
              </w:rPr>
              <w:t>6)</w:t>
            </w:r>
            <w:r>
              <w:rPr>
                <w:caps/>
                <w:sz w:val="14"/>
                <w:szCs w:val="14"/>
              </w:rPr>
              <w:t xml:space="preserve">        </w:t>
            </w:r>
            <w:r>
              <w:rPr>
                <w:rFonts w:ascii="宋体" w:hAnsi="宋体" w:hint="eastAsia"/>
                <w:caps/>
              </w:rPr>
              <w:t>金融学学术硕士、金融学（英语）硕士、应用统计硕士专业学位和金融学（英语）硕士，更多课程选择，部分学分互认。</w:t>
            </w:r>
          </w:p>
          <w:p w:rsidR="009321D0" w:rsidRDefault="009321D0" w:rsidP="009227D7">
            <w:pPr>
              <w:ind w:left="1157" w:hanging="420"/>
              <w:jc w:val="left"/>
            </w:pPr>
            <w:r>
              <w:rPr>
                <w:rFonts w:ascii="Cambria" w:hAnsi="Cambria"/>
                <w:caps/>
              </w:rPr>
              <w:t>7)</w:t>
            </w:r>
            <w:r>
              <w:rPr>
                <w:caps/>
                <w:sz w:val="14"/>
                <w:szCs w:val="14"/>
              </w:rPr>
              <w:t xml:space="preserve">        </w:t>
            </w:r>
            <w:r>
              <w:rPr>
                <w:rFonts w:ascii="宋体" w:hAnsi="宋体" w:hint="eastAsia"/>
                <w:caps/>
              </w:rPr>
              <w:t>专业培养与国际认证相结合（</w:t>
            </w:r>
            <w:r>
              <w:rPr>
                <w:rFonts w:ascii="Cambria" w:hAnsi="Cambria"/>
                <w:caps/>
              </w:rPr>
              <w:t>SAS</w:t>
            </w:r>
            <w:r>
              <w:rPr>
                <w:rFonts w:ascii="宋体" w:hAnsi="宋体" w:hint="eastAsia"/>
                <w:caps/>
              </w:rPr>
              <w:t>，</w:t>
            </w:r>
            <w:r>
              <w:rPr>
                <w:rFonts w:ascii="Cambria" w:hAnsi="Cambria"/>
                <w:caps/>
              </w:rPr>
              <w:t>FRM</w:t>
            </w:r>
            <w:r>
              <w:rPr>
                <w:rFonts w:ascii="宋体" w:hAnsi="宋体" w:hint="eastAsia"/>
                <w:caps/>
              </w:rPr>
              <w:t>，</w:t>
            </w:r>
            <w:r>
              <w:rPr>
                <w:rFonts w:ascii="Cambria" w:hAnsi="Cambria"/>
                <w:caps/>
              </w:rPr>
              <w:t>CFA</w:t>
            </w:r>
            <w:r>
              <w:rPr>
                <w:rFonts w:ascii="宋体" w:hAnsi="宋体" w:hint="eastAsia"/>
                <w:caps/>
              </w:rPr>
              <w:t>）。</w:t>
            </w:r>
          </w:p>
          <w:p w:rsidR="009321D0" w:rsidRDefault="009321D0" w:rsidP="009227D7">
            <w:pPr>
              <w:ind w:left="420"/>
              <w:jc w:val="left"/>
            </w:pPr>
            <w:r>
              <w:rPr>
                <w:rFonts w:ascii="Cambria" w:hAnsi="Cambria"/>
                <w:caps/>
              </w:rPr>
              <w:t xml:space="preserve">2. </w:t>
            </w:r>
            <w:r>
              <w:rPr>
                <w:rFonts w:ascii="宋体" w:hAnsi="宋体" w:hint="eastAsia"/>
                <w:caps/>
              </w:rPr>
              <w:t>课程体系特色（</w:t>
            </w:r>
            <w:r>
              <w:rPr>
                <w:rFonts w:ascii="Cambria" w:hAnsi="Cambria"/>
                <w:caps/>
              </w:rPr>
              <w:t>C /P/ I</w:t>
            </w:r>
            <w:r>
              <w:rPr>
                <w:rFonts w:ascii="宋体" w:hAnsi="宋体" w:hint="eastAsia"/>
                <w:caps/>
              </w:rPr>
              <w:t>体系）</w:t>
            </w:r>
          </w:p>
          <w:p w:rsidR="009321D0" w:rsidRDefault="009321D0" w:rsidP="009227D7">
            <w:pPr>
              <w:ind w:left="1155" w:hanging="420"/>
              <w:jc w:val="left"/>
            </w:pPr>
            <w:r>
              <w:rPr>
                <w:rFonts w:ascii="Cambria" w:hAnsi="Cambria"/>
              </w:rPr>
              <w:t>1</w:t>
            </w:r>
            <w:r>
              <w:rPr>
                <w:rFonts w:ascii="宋体" w:hAnsi="宋体" w:hint="eastAsia"/>
              </w:rPr>
              <w:t>）</w:t>
            </w:r>
            <w:r>
              <w:rPr>
                <w:rFonts w:ascii="Cambria" w:hAnsi="Cambria"/>
              </w:rPr>
              <w:t>C</w:t>
            </w:r>
            <w:r>
              <w:rPr>
                <w:rFonts w:ascii="宋体" w:hAnsi="宋体" w:hint="eastAsia"/>
              </w:rPr>
              <w:t>（</w:t>
            </w:r>
            <w:r>
              <w:rPr>
                <w:rFonts w:ascii="Cambria" w:hAnsi="Cambria"/>
              </w:rPr>
              <w:t>Certification Course</w:t>
            </w:r>
            <w:r>
              <w:rPr>
                <w:rFonts w:ascii="宋体" w:hAnsi="宋体" w:hint="eastAsia"/>
              </w:rPr>
              <w:t>）</w:t>
            </w:r>
            <w:r>
              <w:rPr>
                <w:rFonts w:ascii="Cambria" w:hAnsi="Cambria"/>
              </w:rPr>
              <w:t xml:space="preserve"> </w:t>
            </w:r>
            <w:r>
              <w:rPr>
                <w:rFonts w:ascii="宋体" w:hAnsi="宋体" w:hint="eastAsia"/>
              </w:rPr>
              <w:t>认证课程与学位教育相结合，提高学生的专业实践能力与行业认可度。</w:t>
            </w:r>
          </w:p>
          <w:p w:rsidR="009321D0" w:rsidRDefault="009321D0" w:rsidP="009227D7">
            <w:pPr>
              <w:ind w:left="1575" w:hanging="420"/>
              <w:jc w:val="left"/>
            </w:pPr>
            <w:r>
              <w:rPr>
                <w:rFonts w:ascii="宋体" w:hAnsi="宋体" w:hint="eastAsia"/>
              </w:rPr>
              <w:t>金融风险管理师</w:t>
            </w:r>
            <w:r>
              <w:rPr>
                <w:rFonts w:ascii="Cambria" w:hAnsi="Cambria"/>
              </w:rPr>
              <w:t>FRM</w:t>
            </w:r>
            <w:r>
              <w:rPr>
                <w:rFonts w:ascii="宋体" w:hAnsi="宋体" w:hint="eastAsia"/>
              </w:rPr>
              <w:t>认证结合课程：</w:t>
            </w:r>
            <w:r>
              <w:rPr>
                <w:rFonts w:ascii="Cambria" w:hAnsi="Cambria" w:hint="eastAsia"/>
                <w:highlight w:val="yellow"/>
              </w:rPr>
              <w:t>《高级金融风险管理》，《高级投资组合管理》等</w:t>
            </w:r>
          </w:p>
          <w:p w:rsidR="009321D0" w:rsidRDefault="009321D0" w:rsidP="009227D7">
            <w:pPr>
              <w:ind w:left="1575" w:hanging="420"/>
              <w:jc w:val="left"/>
            </w:pPr>
            <w:r>
              <w:rPr>
                <w:rFonts w:ascii="Cambria" w:hAnsi="Cambria"/>
              </w:rPr>
              <w:t>SAS</w:t>
            </w:r>
            <w:r>
              <w:rPr>
                <w:rFonts w:ascii="宋体" w:hAnsi="宋体" w:hint="eastAsia"/>
              </w:rPr>
              <w:t>认证结合课程：</w:t>
            </w:r>
            <w:r>
              <w:rPr>
                <w:rFonts w:ascii="宋体" w:hAnsi="宋体" w:hint="eastAsia"/>
                <w:highlight w:val="yellow"/>
              </w:rPr>
              <w:t>《金融计算与建模》等</w:t>
            </w:r>
          </w:p>
          <w:p w:rsidR="009321D0" w:rsidRDefault="009321D0" w:rsidP="009227D7">
            <w:pPr>
              <w:ind w:left="1155" w:hanging="420"/>
              <w:jc w:val="left"/>
            </w:pPr>
            <w:r>
              <w:rPr>
                <w:rFonts w:ascii="Cambria" w:hAnsi="Cambria"/>
              </w:rPr>
              <w:t>2</w:t>
            </w:r>
            <w:r>
              <w:rPr>
                <w:rFonts w:ascii="宋体" w:hAnsi="宋体" w:hint="eastAsia"/>
              </w:rPr>
              <w:t>）</w:t>
            </w:r>
            <w:r>
              <w:rPr>
                <w:rFonts w:ascii="Cambria" w:hAnsi="Cambria"/>
              </w:rPr>
              <w:t>P</w:t>
            </w:r>
            <w:r>
              <w:rPr>
                <w:rFonts w:ascii="宋体" w:hAnsi="宋体" w:hint="eastAsia"/>
              </w:rPr>
              <w:t>（</w:t>
            </w:r>
            <w:r>
              <w:rPr>
                <w:rFonts w:ascii="Cambria" w:hAnsi="Cambria"/>
              </w:rPr>
              <w:t>Practice Course</w:t>
            </w:r>
            <w:r>
              <w:rPr>
                <w:rFonts w:ascii="宋体" w:hAnsi="宋体" w:hint="eastAsia"/>
              </w:rPr>
              <w:t>）实践课程与学位教育相结合，学院派教授与金融业界精英的师资相互补充。</w:t>
            </w:r>
          </w:p>
          <w:p w:rsidR="009321D0" w:rsidRDefault="009321D0" w:rsidP="009227D7">
            <w:pPr>
              <w:ind w:left="1155" w:hanging="420"/>
              <w:jc w:val="left"/>
            </w:pPr>
            <w:r>
              <w:rPr>
                <w:rFonts w:ascii="Cambria" w:hAnsi="Cambria"/>
              </w:rPr>
              <w:t>        </w:t>
            </w:r>
            <w:r>
              <w:rPr>
                <w:rFonts w:ascii="宋体" w:hAnsi="宋体" w:hint="eastAsia"/>
              </w:rPr>
              <w:t>代表课程：</w:t>
            </w:r>
            <w:r>
              <w:rPr>
                <w:rFonts w:ascii="宋体" w:hAnsi="宋体" w:hint="eastAsia"/>
                <w:highlight w:val="yellow"/>
              </w:rPr>
              <w:t>《金融机构经营管理》等</w:t>
            </w:r>
          </w:p>
          <w:p w:rsidR="009321D0" w:rsidRDefault="009321D0" w:rsidP="009227D7">
            <w:pPr>
              <w:ind w:left="1155" w:firstLine="420"/>
              <w:jc w:val="left"/>
            </w:pPr>
            <w:r>
              <w:rPr>
                <w:rFonts w:ascii="宋体" w:hAnsi="宋体" w:hint="eastAsia"/>
              </w:rPr>
              <w:t>对于</w:t>
            </w:r>
            <w:r>
              <w:rPr>
                <w:rFonts w:ascii="宋体" w:hAnsi="宋体" w:hint="eastAsia"/>
                <w:caps/>
              </w:rPr>
              <w:t>金融专业硕士项目中的</w:t>
            </w:r>
            <w:r>
              <w:rPr>
                <w:rFonts w:ascii="宋体" w:hAnsi="宋体" w:hint="eastAsia"/>
              </w:rPr>
              <w:t>实践课程，将开展（</w:t>
            </w:r>
            <w:r>
              <w:rPr>
                <w:rFonts w:ascii="Cambria" w:hAnsi="Cambria"/>
              </w:rPr>
              <w:t>1+1</w:t>
            </w:r>
            <w:r>
              <w:rPr>
                <w:rFonts w:ascii="宋体" w:hAnsi="宋体" w:hint="eastAsia"/>
              </w:rPr>
              <w:t>）授课模式，即对同</w:t>
            </w:r>
            <w:r>
              <w:rPr>
                <w:rFonts w:ascii="宋体" w:hAnsi="宋体" w:hint="eastAsia"/>
              </w:rPr>
              <w:lastRenderedPageBreak/>
              <w:t>一门课程，专业教授负责理论教学，行业导师负责行业实践指导，以提高学生对于专业知识的应用能力。</w:t>
            </w:r>
          </w:p>
          <w:p w:rsidR="009321D0" w:rsidRDefault="009321D0" w:rsidP="009227D7">
            <w:pPr>
              <w:ind w:left="1155" w:hanging="420"/>
            </w:pPr>
            <w:r>
              <w:rPr>
                <w:rFonts w:ascii="Cambria" w:hAnsi="Cambria"/>
              </w:rPr>
              <w:t> 3</w:t>
            </w:r>
            <w:r>
              <w:rPr>
                <w:rFonts w:ascii="宋体" w:hAnsi="宋体" w:hint="eastAsia"/>
              </w:rPr>
              <w:t>）国际课程（</w:t>
            </w:r>
            <w:r>
              <w:rPr>
                <w:rFonts w:ascii="Cambria" w:hAnsi="Cambria"/>
              </w:rPr>
              <w:t>International Course</w:t>
            </w:r>
            <w:r>
              <w:rPr>
                <w:rFonts w:ascii="宋体" w:hAnsi="宋体" w:hint="eastAsia"/>
              </w:rPr>
              <w:t>）：国际师资，国际课程，拓展学生国际视野（该系列课程全外教英语教学）。代表课程：</w:t>
            </w:r>
            <w:r>
              <w:rPr>
                <w:rFonts w:ascii="宋体" w:hAnsi="宋体" w:hint="eastAsia"/>
                <w:highlight w:val="yellow"/>
              </w:rPr>
              <w:t>《衍生金融工具》，《企业并购与重组案例》等</w:t>
            </w:r>
          </w:p>
          <w:p w:rsidR="009321D0" w:rsidRDefault="009321D0" w:rsidP="009227D7">
            <w:pPr>
              <w:snapToGrid w:val="0"/>
              <w:ind w:left="1155" w:firstLine="420"/>
              <w:jc w:val="left"/>
              <w:rPr>
                <w:rFonts w:ascii="宋体" w:hAnsi="宋体" w:hint="eastAsia"/>
              </w:rPr>
            </w:pPr>
            <w:r>
              <w:rPr>
                <w:rFonts w:ascii="宋体" w:hAnsi="宋体" w:hint="eastAsia"/>
              </w:rPr>
              <w:t>国际课程全部由国外合作院校的优秀教授</w:t>
            </w:r>
            <w:r>
              <w:rPr>
                <w:rFonts w:ascii="宋体" w:hAnsi="宋体" w:hint="eastAsia"/>
                <w:highlight w:val="yellow"/>
              </w:rPr>
              <w:t>执教</w:t>
            </w:r>
            <w:r>
              <w:rPr>
                <w:rFonts w:ascii="宋体" w:hAnsi="宋体" w:hint="eastAsia"/>
              </w:rPr>
              <w:t>，选用国际主流教材并全英语授课，授课内容与国外高校一致，同时项目课程注重课程设置与国外合作高校课程的对接，非常经济地方便有出国意向的学生申请相关国外高校留学。</w:t>
            </w:r>
          </w:p>
          <w:p w:rsidR="00F46E07" w:rsidRDefault="00F46E07" w:rsidP="009227D7">
            <w:pPr>
              <w:snapToGrid w:val="0"/>
              <w:ind w:left="1155" w:firstLine="420"/>
              <w:jc w:val="left"/>
            </w:pPr>
          </w:p>
          <w:p w:rsidR="009321D0" w:rsidRPr="00F46E07" w:rsidRDefault="00F46E07" w:rsidP="009227D7">
            <w:pPr>
              <w:ind w:left="630"/>
              <w:jc w:val="left"/>
              <w:rPr>
                <w:b/>
                <w:sz w:val="18"/>
                <w:szCs w:val="18"/>
              </w:rPr>
            </w:pPr>
            <w:r w:rsidRPr="00F46E07">
              <w:rPr>
                <w:rFonts w:ascii="Cambria" w:hAnsi="Cambria" w:hint="eastAsia"/>
                <w:b/>
                <w:caps/>
                <w:sz w:val="18"/>
                <w:szCs w:val="18"/>
              </w:rPr>
              <w:t>注：具体课程以教学计划为准。</w:t>
            </w:r>
          </w:p>
        </w:tc>
      </w:tr>
    </w:tbl>
    <w:p w:rsidR="009321D0" w:rsidRDefault="009321D0" w:rsidP="009321D0">
      <w:pPr>
        <w:spacing w:line="20" w:lineRule="atLeast"/>
      </w:pPr>
      <w:r>
        <w:lastRenderedPageBreak/>
        <w:t> </w:t>
      </w:r>
    </w:p>
    <w:p w:rsidR="007843C5" w:rsidRPr="00F46E07" w:rsidRDefault="007843C5"/>
    <w:sectPr w:rsidR="007843C5" w:rsidRPr="00F46E07" w:rsidSect="009321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92C" w:rsidRDefault="001C592C" w:rsidP="00DE4524">
      <w:r>
        <w:separator/>
      </w:r>
    </w:p>
  </w:endnote>
  <w:endnote w:type="continuationSeparator" w:id="1">
    <w:p w:rsidR="001C592C" w:rsidRDefault="001C592C" w:rsidP="00DE4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92C" w:rsidRDefault="001C592C" w:rsidP="00DE4524">
      <w:r>
        <w:separator/>
      </w:r>
    </w:p>
  </w:footnote>
  <w:footnote w:type="continuationSeparator" w:id="1">
    <w:p w:rsidR="001C592C" w:rsidRDefault="001C592C" w:rsidP="00DE4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1D0"/>
    <w:rsid w:val="001C592C"/>
    <w:rsid w:val="002B7BE5"/>
    <w:rsid w:val="00486FAC"/>
    <w:rsid w:val="007843C5"/>
    <w:rsid w:val="009321D0"/>
    <w:rsid w:val="00DE4524"/>
    <w:rsid w:val="00E16529"/>
    <w:rsid w:val="00F46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D0"/>
    <w:pPr>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4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4524"/>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DE45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4524"/>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1190</Characters>
  <Application>Microsoft Office Word</Application>
  <DocSecurity>0</DocSecurity>
  <Lines>9</Lines>
  <Paragraphs>2</Paragraphs>
  <ScaleCrop>false</ScaleCrop>
  <Company>Microsoft</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2019-07-01T06:52:00Z</dcterms:created>
  <dcterms:modified xsi:type="dcterms:W3CDTF">2019-07-02T06:24:00Z</dcterms:modified>
</cp:coreProperties>
</file>