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AC9FA" w14:textId="3659A4BA" w:rsidR="00471073" w:rsidRPr="000E3170" w:rsidRDefault="00F22389" w:rsidP="000E3170">
      <w:pPr>
        <w:jc w:val="center"/>
        <w:rPr>
          <w:b/>
          <w:bCs/>
          <w:sz w:val="32"/>
          <w:szCs w:val="32"/>
        </w:rPr>
      </w:pPr>
      <w:bookmarkStart w:id="0" w:name="_GoBack"/>
      <w:bookmarkEnd w:id="0"/>
      <w:r w:rsidRPr="000E3170">
        <w:rPr>
          <w:rFonts w:hint="eastAsia"/>
          <w:b/>
          <w:bCs/>
          <w:sz w:val="32"/>
          <w:szCs w:val="32"/>
        </w:rPr>
        <w:t>北华大学东亚中心</w:t>
      </w:r>
      <w:r w:rsidR="00AE6E90">
        <w:rPr>
          <w:rFonts w:hint="eastAsia"/>
          <w:b/>
          <w:bCs/>
          <w:sz w:val="32"/>
          <w:szCs w:val="32"/>
        </w:rPr>
        <w:t>（</w:t>
      </w:r>
      <w:r w:rsidR="00AE6E90" w:rsidRPr="000E3170">
        <w:rPr>
          <w:rFonts w:hint="eastAsia"/>
          <w:b/>
          <w:bCs/>
          <w:sz w:val="32"/>
          <w:szCs w:val="32"/>
        </w:rPr>
        <w:t>世界史</w:t>
      </w:r>
      <w:r w:rsidR="00AE6E90">
        <w:rPr>
          <w:rFonts w:hint="eastAsia"/>
          <w:b/>
          <w:bCs/>
          <w:sz w:val="32"/>
          <w:szCs w:val="32"/>
        </w:rPr>
        <w:t>）</w:t>
      </w:r>
      <w:r w:rsidRPr="000E3170">
        <w:rPr>
          <w:rFonts w:hint="eastAsia"/>
          <w:b/>
          <w:bCs/>
          <w:sz w:val="32"/>
          <w:szCs w:val="32"/>
        </w:rPr>
        <w:t>2</w:t>
      </w:r>
      <w:r w:rsidRPr="000E3170">
        <w:rPr>
          <w:b/>
          <w:bCs/>
          <w:sz w:val="32"/>
          <w:szCs w:val="32"/>
        </w:rPr>
        <w:t>020</w:t>
      </w:r>
      <w:r w:rsidRPr="000E3170">
        <w:rPr>
          <w:rFonts w:hint="eastAsia"/>
          <w:b/>
          <w:bCs/>
          <w:sz w:val="32"/>
          <w:szCs w:val="32"/>
        </w:rPr>
        <w:t>年硕士研究生调剂</w:t>
      </w:r>
      <w:r w:rsidR="00AE6E90">
        <w:rPr>
          <w:rFonts w:hint="eastAsia"/>
          <w:b/>
          <w:bCs/>
          <w:sz w:val="32"/>
          <w:szCs w:val="32"/>
        </w:rPr>
        <w:t>信息</w:t>
      </w:r>
    </w:p>
    <w:p w14:paraId="23C2705A" w14:textId="77777777" w:rsidR="00AE6E90" w:rsidRDefault="00F22389" w:rsidP="00AE6E90">
      <w:pPr>
        <w:rPr>
          <w:sz w:val="28"/>
          <w:szCs w:val="28"/>
        </w:rPr>
      </w:pPr>
      <w:r w:rsidRPr="000E3170">
        <w:rPr>
          <w:rFonts w:hint="eastAsia"/>
          <w:sz w:val="28"/>
          <w:szCs w:val="28"/>
        </w:rPr>
        <w:t xml:space="preserve"> </w:t>
      </w:r>
    </w:p>
    <w:p w14:paraId="0AE7B14F" w14:textId="755CE0C4" w:rsidR="00F22389" w:rsidRPr="00AE6E90" w:rsidRDefault="00F22389" w:rsidP="00AE6E90">
      <w:pPr>
        <w:ind w:firstLineChars="150" w:firstLine="360"/>
        <w:rPr>
          <w:sz w:val="28"/>
          <w:szCs w:val="28"/>
        </w:rPr>
      </w:pPr>
      <w:r w:rsidRPr="00AE6E90">
        <w:rPr>
          <w:rFonts w:ascii="仿宋" w:eastAsia="仿宋" w:hAnsi="仿宋" w:hint="eastAsia"/>
        </w:rPr>
        <w:t>北华大学东亚中心世界史专业</w:t>
      </w:r>
      <w:r w:rsidR="00AE6E90" w:rsidRPr="00AE6E90">
        <w:rPr>
          <w:rFonts w:ascii="仿宋" w:eastAsia="仿宋" w:hAnsi="仿宋" w:hint="eastAsia"/>
        </w:rPr>
        <w:t>接收硕士研究生调剂，</w:t>
      </w:r>
      <w:r w:rsidRPr="00AE6E90">
        <w:rPr>
          <w:rFonts w:ascii="仿宋" w:eastAsia="仿宋" w:hAnsi="仿宋" w:hint="eastAsia"/>
        </w:rPr>
        <w:t>欢迎广大优秀学子来我中心学习。</w:t>
      </w:r>
    </w:p>
    <w:p w14:paraId="01635C62" w14:textId="41FEE782" w:rsidR="00AE6E90" w:rsidRPr="00AE6E90" w:rsidRDefault="00F22389" w:rsidP="00AE6E90">
      <w:pPr>
        <w:rPr>
          <w:rFonts w:ascii="仿宋" w:eastAsia="仿宋" w:hAnsi="仿宋"/>
          <w:b/>
          <w:bCs/>
        </w:rPr>
      </w:pPr>
      <w:r w:rsidRPr="00AE6E90">
        <w:rPr>
          <w:rFonts w:ascii="仿宋" w:eastAsia="仿宋" w:hAnsi="仿宋" w:hint="eastAsia"/>
        </w:rPr>
        <w:t xml:space="preserve">    </w:t>
      </w:r>
      <w:r w:rsidR="00AE6E90" w:rsidRPr="00AE6E90">
        <w:rPr>
          <w:rFonts w:ascii="仿宋" w:eastAsia="仿宋" w:hAnsi="仿宋" w:hint="eastAsia"/>
        </w:rPr>
        <w:t>一、</w:t>
      </w:r>
      <w:r w:rsidR="00AE6E90" w:rsidRPr="00AE6E90">
        <w:rPr>
          <w:rFonts w:ascii="仿宋" w:eastAsia="仿宋" w:hAnsi="仿宋" w:hint="eastAsia"/>
          <w:b/>
          <w:bCs/>
        </w:rPr>
        <w:t>北华大学东亚中心简介</w:t>
      </w:r>
    </w:p>
    <w:p w14:paraId="5BDBCCFA" w14:textId="77777777" w:rsidR="00AE6E90" w:rsidRPr="00AE6E90" w:rsidRDefault="00AE6E90" w:rsidP="00AE6E90">
      <w:pPr>
        <w:spacing w:line="300" w:lineRule="auto"/>
        <w:ind w:firstLineChars="200" w:firstLine="478"/>
        <w:rPr>
          <w:rFonts w:ascii="仿宋" w:eastAsia="仿宋" w:hAnsi="仿宋"/>
          <w:b/>
          <w:bCs/>
          <w:spacing w:val="-1"/>
        </w:rPr>
      </w:pPr>
      <w:r w:rsidRPr="00AE6E90">
        <w:rPr>
          <w:rFonts w:ascii="仿宋" w:eastAsia="仿宋" w:hAnsi="仿宋" w:hint="eastAsia"/>
          <w:b/>
          <w:bCs/>
          <w:spacing w:val="-1"/>
        </w:rPr>
        <w:t>1、发展简况</w:t>
      </w:r>
    </w:p>
    <w:p w14:paraId="1A538790" w14:textId="77777777" w:rsidR="00AE6E90" w:rsidRPr="00AE6E90" w:rsidRDefault="00AE6E90" w:rsidP="00AE6E90">
      <w:pPr>
        <w:spacing w:line="300" w:lineRule="auto"/>
        <w:ind w:firstLineChars="200" w:firstLine="476"/>
        <w:rPr>
          <w:rFonts w:ascii="仿宋" w:eastAsia="仿宋" w:hAnsi="仿宋"/>
          <w:bCs/>
          <w:spacing w:val="-1"/>
        </w:rPr>
      </w:pPr>
      <w:r w:rsidRPr="00AE6E90">
        <w:rPr>
          <w:rFonts w:ascii="仿宋" w:eastAsia="仿宋" w:hAnsi="仿宋" w:hint="eastAsia"/>
          <w:bCs/>
          <w:spacing w:val="-1"/>
        </w:rPr>
        <w:t>历史学科始建于1981年，1989年开始本科招生，2002年招收培养硕士研究生，2007年获世界史硕士授权，2010年获一级学科硕士授权，是省“十二五”重中之重学科、省“十三五”优势特色学科A类。上世纪80年代李澍田等先生创建史学科，以编纂出版东亚大型地方文献《长白丛书》而闻名学界。拥有省高校人文社科重点研究基地、吉林市特色文化研究基地、省高校创新团队、省高校新型智库、文献数字化信息中心各1个。</w:t>
      </w:r>
    </w:p>
    <w:p w14:paraId="11845E1B" w14:textId="77777777" w:rsidR="00AE6E90" w:rsidRPr="00AE6E90" w:rsidRDefault="00AE6E90" w:rsidP="00AE6E90">
      <w:pPr>
        <w:spacing w:line="300" w:lineRule="auto"/>
        <w:ind w:firstLineChars="196" w:firstLine="468"/>
        <w:rPr>
          <w:rFonts w:ascii="仿宋" w:eastAsia="仿宋" w:hAnsi="仿宋"/>
          <w:bCs/>
          <w:spacing w:val="-1"/>
        </w:rPr>
      </w:pPr>
      <w:r w:rsidRPr="00AE6E90">
        <w:rPr>
          <w:rFonts w:ascii="仿宋" w:eastAsia="仿宋" w:hAnsi="仿宋" w:hint="eastAsia"/>
          <w:b/>
          <w:bCs/>
          <w:spacing w:val="-1"/>
        </w:rPr>
        <w:t>2、特色与优势</w:t>
      </w:r>
    </w:p>
    <w:p w14:paraId="1E1AED87" w14:textId="77777777" w:rsidR="00AE6E90" w:rsidRPr="00AE6E90" w:rsidRDefault="00AE6E90" w:rsidP="00AE6E90">
      <w:pPr>
        <w:spacing w:line="300" w:lineRule="auto"/>
        <w:ind w:firstLineChars="200" w:firstLine="478"/>
        <w:rPr>
          <w:rFonts w:ascii="仿宋" w:eastAsia="仿宋" w:hAnsi="仿宋"/>
          <w:bCs/>
          <w:spacing w:val="-1"/>
        </w:rPr>
      </w:pPr>
      <w:r w:rsidRPr="00AE6E90">
        <w:rPr>
          <w:rFonts w:ascii="仿宋" w:eastAsia="仿宋" w:hAnsi="仿宋" w:hint="eastAsia"/>
          <w:b/>
          <w:bCs/>
          <w:spacing w:val="-1"/>
        </w:rPr>
        <w:t>学科队伍</w:t>
      </w:r>
      <w:r w:rsidRPr="00AE6E90">
        <w:rPr>
          <w:rFonts w:ascii="仿宋" w:eastAsia="仿宋" w:hAnsi="仿宋" w:hint="eastAsia"/>
          <w:bCs/>
          <w:spacing w:val="-1"/>
        </w:rPr>
        <w:t>。现有教师18人，其中教授6人，副教授5人，高级职称占比61%；博士16人，占比89%。有4人次获国务院特殊津贴专家、长白山学者特聘教授等人才称号。</w:t>
      </w:r>
    </w:p>
    <w:p w14:paraId="0A1724F8" w14:textId="77777777" w:rsidR="00AE6E90" w:rsidRPr="00AE6E90" w:rsidRDefault="00AE6E90" w:rsidP="00AE6E90">
      <w:pPr>
        <w:spacing w:line="300" w:lineRule="auto"/>
        <w:ind w:firstLineChars="200" w:firstLine="478"/>
        <w:rPr>
          <w:rFonts w:ascii="仿宋" w:eastAsia="仿宋" w:hAnsi="仿宋"/>
          <w:bCs/>
          <w:spacing w:val="-1"/>
        </w:rPr>
      </w:pPr>
      <w:r w:rsidRPr="00AE6E90">
        <w:rPr>
          <w:rFonts w:ascii="仿宋" w:eastAsia="仿宋" w:hAnsi="仿宋" w:hint="eastAsia"/>
          <w:b/>
          <w:bCs/>
          <w:spacing w:val="-1"/>
        </w:rPr>
        <w:t>学科建设</w:t>
      </w:r>
      <w:r w:rsidRPr="00AE6E90">
        <w:rPr>
          <w:rFonts w:ascii="仿宋" w:eastAsia="仿宋" w:hAnsi="仿宋" w:hint="eastAsia"/>
          <w:bCs/>
          <w:spacing w:val="-1"/>
        </w:rPr>
        <w:t>。近5年来，学科承担国家社科基金项目8项，分别是重大项目1项、重点项目1项、专项1项、一般项目3项、青年项目2项，教育部项目6项，累计科研经费344万元。出版学术专著14部，译著3部。发表核心及以上论文42篇。获省社科优秀成果一等奖2项。资料室藏书6万册，其中外文文献1万余册，数据库20种。长期注重国际学术交流与合作，与日韩俄等国10所东亚研究机构签订交流合作协议，国际交流活动实现常态化。</w:t>
      </w:r>
    </w:p>
    <w:p w14:paraId="34F1F82A" w14:textId="77777777" w:rsidR="00AE6E90" w:rsidRPr="00AE6E90" w:rsidRDefault="00AE6E90" w:rsidP="00AE6E90">
      <w:pPr>
        <w:spacing w:line="300" w:lineRule="auto"/>
        <w:ind w:firstLineChars="200" w:firstLine="478"/>
        <w:rPr>
          <w:rFonts w:ascii="仿宋" w:eastAsia="仿宋" w:hAnsi="仿宋"/>
          <w:bCs/>
          <w:spacing w:val="-1"/>
        </w:rPr>
      </w:pPr>
      <w:r w:rsidRPr="00AE6E90">
        <w:rPr>
          <w:rFonts w:ascii="仿宋" w:eastAsia="仿宋" w:hAnsi="仿宋" w:hint="eastAsia"/>
          <w:b/>
          <w:bCs/>
          <w:spacing w:val="-1"/>
        </w:rPr>
        <w:t>学科研究方向</w:t>
      </w:r>
      <w:r w:rsidRPr="00AE6E90">
        <w:rPr>
          <w:rFonts w:ascii="仿宋" w:eastAsia="仿宋" w:hAnsi="仿宋" w:hint="eastAsia"/>
          <w:bCs/>
          <w:spacing w:val="-1"/>
        </w:rPr>
        <w:t>。学术研究关注东亚区域历史的多元性和统一性，侧重对东亚历史文献资料的搜集与整理，尤其是在“满蒙史观”、日本战后外交政策史、东亚社会的战争记忆与历史认识问题的研究处于国内同类研究前列。日本近现代史研究、朝鲜半岛史、美国史和东亚区域历史文献学四个研究方向稳定，既着眼于世界史，又结合自身传统与地域优势。</w:t>
      </w:r>
    </w:p>
    <w:p w14:paraId="41CA3455" w14:textId="77777777" w:rsidR="00AE6E90" w:rsidRPr="00AE6E90" w:rsidRDefault="00AE6E90" w:rsidP="00AE6E90">
      <w:pPr>
        <w:spacing w:line="300" w:lineRule="auto"/>
        <w:ind w:firstLineChars="200" w:firstLine="478"/>
        <w:rPr>
          <w:rFonts w:ascii="仿宋" w:eastAsia="仿宋" w:hAnsi="仿宋"/>
          <w:b/>
          <w:bCs/>
          <w:spacing w:val="-1"/>
        </w:rPr>
      </w:pPr>
      <w:r w:rsidRPr="00AE6E90">
        <w:rPr>
          <w:rFonts w:ascii="仿宋" w:eastAsia="仿宋" w:hAnsi="仿宋" w:hint="eastAsia"/>
          <w:b/>
          <w:bCs/>
          <w:spacing w:val="-1"/>
        </w:rPr>
        <w:t>3、社会需求与必要性</w:t>
      </w:r>
    </w:p>
    <w:p w14:paraId="054668E4" w14:textId="77777777" w:rsidR="00AE6E90" w:rsidRPr="00AE6E90" w:rsidRDefault="00AE6E90" w:rsidP="00AE6E90">
      <w:pPr>
        <w:spacing w:line="300" w:lineRule="auto"/>
        <w:ind w:firstLineChars="200" w:firstLine="476"/>
        <w:rPr>
          <w:rFonts w:ascii="仿宋" w:eastAsia="仿宋" w:hAnsi="仿宋"/>
          <w:bCs/>
          <w:spacing w:val="-1"/>
        </w:rPr>
      </w:pPr>
      <w:r w:rsidRPr="00AE6E90">
        <w:rPr>
          <w:rFonts w:ascii="仿宋" w:eastAsia="仿宋" w:hAnsi="仿宋" w:hint="eastAsia"/>
          <w:bCs/>
          <w:spacing w:val="-1"/>
        </w:rPr>
        <w:t>世界史学科可以增强吉林省历史学科的学术戍边实力，在确保国家东部疆域国土安全方面提供学术支撑。《长白丛书》曾被外交部调阅司调阅作为国家制定对外政策的参考。</w:t>
      </w:r>
    </w:p>
    <w:p w14:paraId="7932954B" w14:textId="77777777" w:rsidR="00AE6E90" w:rsidRPr="00AE6E90" w:rsidRDefault="00AE6E90" w:rsidP="00AE6E90">
      <w:pPr>
        <w:spacing w:line="300" w:lineRule="auto"/>
        <w:ind w:firstLineChars="200" w:firstLine="476"/>
        <w:rPr>
          <w:rFonts w:ascii="仿宋" w:eastAsia="仿宋" w:hAnsi="仿宋"/>
          <w:bCs/>
          <w:spacing w:val="-1"/>
        </w:rPr>
      </w:pPr>
      <w:r w:rsidRPr="00AE6E90">
        <w:rPr>
          <w:rFonts w:ascii="仿宋" w:eastAsia="仿宋" w:hAnsi="仿宋" w:hint="eastAsia"/>
          <w:bCs/>
          <w:spacing w:val="-1"/>
        </w:rPr>
        <w:t>研究东亚地区历史与现实问题的需要。东亚聚集了疆界纷争、跨境民族流动、朝核、半岛统一、文化遗产归属等问题，影响东亚地区的稳定。学科的东亚区域研究成果为处理国家间的历史与现实关系问题提供智力和学术支撑，亦能为国家制定与中国东北相邻国家的对外政策、疆界谈判提供详实可靠的文献史料依据和佐证。目前国内大学的世界史学科缺乏以东亚史为视角研究日本近现代史、朝鲜半岛史、东亚区域历史文献学等研究方向的博士学位授权点。</w:t>
      </w:r>
    </w:p>
    <w:p w14:paraId="24964D5E" w14:textId="77777777" w:rsidR="00AE6E90" w:rsidRPr="00AE6E90" w:rsidRDefault="00AE6E90" w:rsidP="00AE6E90">
      <w:pPr>
        <w:spacing w:line="300" w:lineRule="auto"/>
        <w:ind w:firstLineChars="200" w:firstLine="478"/>
        <w:rPr>
          <w:rFonts w:ascii="仿宋" w:eastAsia="仿宋" w:hAnsi="仿宋"/>
          <w:b/>
          <w:bCs/>
          <w:spacing w:val="-1"/>
        </w:rPr>
      </w:pPr>
      <w:r w:rsidRPr="00AE6E90">
        <w:rPr>
          <w:rFonts w:ascii="仿宋" w:eastAsia="仿宋" w:hAnsi="仿宋" w:hint="eastAsia"/>
          <w:b/>
          <w:bCs/>
          <w:spacing w:val="-1"/>
        </w:rPr>
        <w:t>4、人才培养及思想教育状况</w:t>
      </w:r>
    </w:p>
    <w:p w14:paraId="1AA51A2C" w14:textId="77777777" w:rsidR="00AE6E90" w:rsidRPr="00AE6E90" w:rsidRDefault="00AE6E90" w:rsidP="00AE6E90">
      <w:pPr>
        <w:rPr>
          <w:rFonts w:ascii="仿宋" w:eastAsia="仿宋" w:hAnsi="仿宋"/>
          <w:bCs/>
          <w:spacing w:val="-1"/>
        </w:rPr>
      </w:pPr>
      <w:r w:rsidRPr="00AE6E90">
        <w:rPr>
          <w:rFonts w:ascii="仿宋" w:eastAsia="仿宋" w:hAnsi="仿宋" w:hint="eastAsia"/>
          <w:bCs/>
          <w:spacing w:val="-1"/>
        </w:rPr>
        <w:t>经历30年的本科教育和17届硕士研究生教育历程，共培养本科生2000余人、硕士研究生近200人。硕士生中有12人攻读博士学位、4人获省优论文、8人获国家奖学金。30%的毕业生成为中学、大学的骨干教师。</w:t>
      </w:r>
    </w:p>
    <w:p w14:paraId="070D0767" w14:textId="448C029F" w:rsidR="00AE6E90" w:rsidRPr="00AE6E90" w:rsidRDefault="00AE6E90" w:rsidP="00AE6E90">
      <w:pPr>
        <w:ind w:firstLineChars="200" w:firstLine="478"/>
        <w:rPr>
          <w:rFonts w:ascii="仿宋" w:eastAsia="仿宋" w:hAnsi="仿宋"/>
          <w:b/>
          <w:bCs/>
          <w:spacing w:val="-1"/>
        </w:rPr>
      </w:pPr>
      <w:r w:rsidRPr="00AE6E90">
        <w:rPr>
          <w:rFonts w:ascii="仿宋" w:eastAsia="仿宋" w:hAnsi="仿宋" w:hint="eastAsia"/>
          <w:b/>
          <w:bCs/>
          <w:spacing w:val="-1"/>
        </w:rPr>
        <w:lastRenderedPageBreak/>
        <w:t>二、调剂要求</w:t>
      </w:r>
    </w:p>
    <w:p w14:paraId="7589CBB5" w14:textId="4AE9D13E" w:rsidR="00F22389" w:rsidRPr="00AE6E90" w:rsidRDefault="00F22389" w:rsidP="00AE6E90">
      <w:pPr>
        <w:ind w:firstLineChars="200" w:firstLine="480"/>
        <w:rPr>
          <w:rFonts w:ascii="仿宋" w:eastAsia="仿宋" w:hAnsi="仿宋"/>
        </w:rPr>
      </w:pPr>
      <w:r w:rsidRPr="00AE6E90">
        <w:rPr>
          <w:rFonts w:ascii="仿宋" w:eastAsia="仿宋" w:hAnsi="仿宋" w:hint="eastAsia"/>
        </w:rPr>
        <w:t>1、调剂条件。初试成绩</w:t>
      </w:r>
      <w:r w:rsidR="00AE6E90" w:rsidRPr="00AE6E90">
        <w:rPr>
          <w:rFonts w:ascii="仿宋" w:eastAsia="仿宋" w:hAnsi="仿宋" w:hint="eastAsia"/>
        </w:rPr>
        <w:t>须</w:t>
      </w:r>
      <w:r w:rsidRPr="00AE6E90">
        <w:rPr>
          <w:rFonts w:ascii="仿宋" w:eastAsia="仿宋" w:hAnsi="仿宋" w:hint="eastAsia"/>
        </w:rPr>
        <w:t>符合历史学《2</w:t>
      </w:r>
      <w:r w:rsidRPr="00AE6E90">
        <w:rPr>
          <w:rFonts w:ascii="仿宋" w:eastAsia="仿宋" w:hAnsi="仿宋"/>
        </w:rPr>
        <w:t>020</w:t>
      </w:r>
      <w:r w:rsidRPr="00AE6E90">
        <w:rPr>
          <w:rFonts w:ascii="仿宋" w:eastAsia="仿宋" w:hAnsi="仿宋" w:hint="eastAsia"/>
        </w:rPr>
        <w:t>年全国硕士研究生初试成绩基本要求》（国家线A类）。</w:t>
      </w:r>
    </w:p>
    <w:p w14:paraId="4258DECE" w14:textId="003F2DB0" w:rsidR="00F22389" w:rsidRPr="00AE6E90" w:rsidRDefault="00F22389" w:rsidP="00F22389">
      <w:pPr>
        <w:rPr>
          <w:rFonts w:ascii="仿宋" w:eastAsia="仿宋" w:hAnsi="仿宋"/>
        </w:rPr>
      </w:pPr>
      <w:r w:rsidRPr="00AE6E90">
        <w:rPr>
          <w:rFonts w:ascii="仿宋" w:eastAsia="仿宋" w:hAnsi="仿宋" w:hint="eastAsia"/>
        </w:rPr>
        <w:t xml:space="preserve"> </w:t>
      </w:r>
      <w:r w:rsidRPr="00AE6E90">
        <w:rPr>
          <w:rFonts w:ascii="仿宋" w:eastAsia="仿宋" w:hAnsi="仿宋"/>
        </w:rPr>
        <w:t xml:space="preserve">   2</w:t>
      </w:r>
      <w:r w:rsidRPr="00AE6E90">
        <w:rPr>
          <w:rFonts w:ascii="仿宋" w:eastAsia="仿宋" w:hAnsi="仿宋" w:hint="eastAsia"/>
        </w:rPr>
        <w:t>、</w:t>
      </w:r>
      <w:r w:rsidR="000E3170" w:rsidRPr="00AE6E90">
        <w:rPr>
          <w:rFonts w:ascii="仿宋" w:eastAsia="仿宋" w:hAnsi="仿宋" w:hint="eastAsia"/>
        </w:rPr>
        <w:t>申请调剂者</w:t>
      </w:r>
      <w:r w:rsidR="00AE6E90" w:rsidRPr="00AE6E90">
        <w:rPr>
          <w:rFonts w:ascii="仿宋" w:eastAsia="仿宋" w:hAnsi="仿宋" w:hint="eastAsia"/>
        </w:rPr>
        <w:t>为报考</w:t>
      </w:r>
      <w:r w:rsidRPr="00AE6E90">
        <w:rPr>
          <w:rFonts w:ascii="仿宋" w:eastAsia="仿宋" w:hAnsi="仿宋" w:hint="eastAsia"/>
        </w:rPr>
        <w:t>世界史专业或者方向的考生。</w:t>
      </w:r>
    </w:p>
    <w:p w14:paraId="66686F02" w14:textId="4A53D4F9" w:rsidR="00F22389" w:rsidRPr="00AE6E90" w:rsidRDefault="00F22389" w:rsidP="00AE6E90">
      <w:pPr>
        <w:ind w:firstLineChars="200" w:firstLine="480"/>
        <w:rPr>
          <w:rFonts w:ascii="仿宋" w:eastAsia="仿宋" w:hAnsi="仿宋"/>
        </w:rPr>
      </w:pPr>
      <w:r w:rsidRPr="00AE6E90">
        <w:rPr>
          <w:rFonts w:ascii="仿宋" w:eastAsia="仿宋" w:hAnsi="仿宋" w:hint="eastAsia"/>
        </w:rPr>
        <w:t>3、有关调剂事项、时间</w:t>
      </w:r>
      <w:r w:rsidR="00CC0783" w:rsidRPr="00AE6E90">
        <w:rPr>
          <w:rFonts w:ascii="仿宋" w:eastAsia="仿宋" w:hAnsi="仿宋" w:hint="eastAsia"/>
        </w:rPr>
        <w:t>、调剂的程序</w:t>
      </w:r>
      <w:r w:rsidRPr="00AE6E90">
        <w:rPr>
          <w:rFonts w:ascii="仿宋" w:eastAsia="仿宋" w:hAnsi="仿宋" w:hint="eastAsia"/>
        </w:rPr>
        <w:t>请密切关注</w:t>
      </w:r>
      <w:r w:rsidR="000E3170" w:rsidRPr="00AE6E90">
        <w:rPr>
          <w:rFonts w:ascii="仿宋" w:eastAsia="仿宋" w:hAnsi="仿宋" w:hint="eastAsia"/>
        </w:rPr>
        <w:t>北华大学研究生处网站</w:t>
      </w:r>
      <w:hyperlink r:id="rId8" w:history="1">
        <w:r w:rsidR="000E3170" w:rsidRPr="00AE6E90">
          <w:rPr>
            <w:rStyle w:val="a4"/>
            <w:rFonts w:ascii="仿宋" w:eastAsia="仿宋" w:hAnsi="仿宋"/>
          </w:rPr>
          <w:t>http://grad.beihua.edu.cn/</w:t>
        </w:r>
      </w:hyperlink>
      <w:r w:rsidR="00CC0783" w:rsidRPr="00AE6E90">
        <w:rPr>
          <w:rStyle w:val="a4"/>
          <w:rFonts w:ascii="仿宋" w:eastAsia="仿宋" w:hAnsi="仿宋" w:hint="eastAsia"/>
          <w:color w:val="000000" w:themeColor="text1"/>
          <w:u w:val="none"/>
        </w:rPr>
        <w:t>和教育部研究生招生信息网调剂平台</w:t>
      </w:r>
      <w:r w:rsidR="000E3170" w:rsidRPr="00AE6E90">
        <w:rPr>
          <w:rFonts w:ascii="仿宋" w:eastAsia="仿宋" w:hAnsi="仿宋" w:hint="eastAsia"/>
        </w:rPr>
        <w:t>的通知。</w:t>
      </w:r>
    </w:p>
    <w:p w14:paraId="0D1E2AED" w14:textId="57F2870A" w:rsidR="00CC0783" w:rsidRPr="00AE6E90" w:rsidRDefault="00CC0783" w:rsidP="00AE6E90">
      <w:pPr>
        <w:ind w:firstLineChars="200" w:firstLine="480"/>
        <w:rPr>
          <w:rFonts w:ascii="仿宋" w:eastAsia="仿宋" w:hAnsi="仿宋"/>
        </w:rPr>
      </w:pPr>
      <w:r w:rsidRPr="00AE6E90">
        <w:rPr>
          <w:rFonts w:ascii="仿宋" w:eastAsia="仿宋" w:hAnsi="仿宋" w:hint="eastAsia"/>
        </w:rPr>
        <w:t>4、有关奖助政策请参阅北华大学研究生处网站</w:t>
      </w:r>
      <w:r w:rsidR="0091517E">
        <w:rPr>
          <w:rFonts w:ascii="仿宋" w:eastAsia="仿宋" w:hAnsi="仿宋" w:hint="eastAsia"/>
        </w:rPr>
        <w:t>信息</w:t>
      </w:r>
      <w:r w:rsidRPr="00AE6E90">
        <w:rPr>
          <w:rFonts w:ascii="仿宋" w:eastAsia="仿宋" w:hAnsi="仿宋" w:hint="eastAsia"/>
        </w:rPr>
        <w:t>。</w:t>
      </w:r>
    </w:p>
    <w:p w14:paraId="4F778853" w14:textId="278915F3" w:rsidR="000E3170" w:rsidRPr="00AE6E90" w:rsidRDefault="00CC0783" w:rsidP="00AE6E90">
      <w:pPr>
        <w:ind w:firstLineChars="200" w:firstLine="480"/>
        <w:rPr>
          <w:rFonts w:ascii="仿宋" w:eastAsia="仿宋" w:hAnsi="仿宋"/>
        </w:rPr>
      </w:pPr>
      <w:r w:rsidRPr="00AE6E90">
        <w:rPr>
          <w:rFonts w:ascii="仿宋" w:eastAsia="仿宋" w:hAnsi="仿宋"/>
        </w:rPr>
        <w:t>5</w:t>
      </w:r>
      <w:r w:rsidR="000E3170" w:rsidRPr="00AE6E90">
        <w:rPr>
          <w:rFonts w:ascii="仿宋" w:eastAsia="仿宋" w:hAnsi="仿宋" w:hint="eastAsia"/>
        </w:rPr>
        <w:t>、咨询方式：宫老师 1</w:t>
      </w:r>
      <w:r w:rsidR="000E3170" w:rsidRPr="00AE6E90">
        <w:rPr>
          <w:rFonts w:ascii="仿宋" w:eastAsia="仿宋" w:hAnsi="仿宋"/>
        </w:rPr>
        <w:t>8604498006</w:t>
      </w:r>
      <w:r w:rsidRPr="00AE6E90">
        <w:rPr>
          <w:rFonts w:ascii="仿宋" w:eastAsia="仿宋" w:hAnsi="仿宋" w:hint="eastAsia"/>
        </w:rPr>
        <w:t>（同微信号）</w:t>
      </w:r>
    </w:p>
    <w:p w14:paraId="4592D382" w14:textId="411CEF91" w:rsidR="00CC0783" w:rsidRPr="000E3170" w:rsidRDefault="00CC0783" w:rsidP="00AE6E90">
      <w:pPr>
        <w:ind w:firstLineChars="200" w:firstLine="480"/>
        <w:rPr>
          <w:sz w:val="28"/>
          <w:szCs w:val="28"/>
        </w:rPr>
      </w:pPr>
      <w:r w:rsidRPr="00AE6E90">
        <w:rPr>
          <w:rFonts w:ascii="仿宋" w:eastAsia="仿宋" w:hAnsi="仿宋" w:hint="eastAsia"/>
        </w:rPr>
        <w:t xml:space="preserve"> </w:t>
      </w:r>
      <w:r w:rsidRPr="00AE6E90">
        <w:rPr>
          <w:rFonts w:ascii="仿宋" w:eastAsia="仿宋" w:hAnsi="仿宋"/>
        </w:rPr>
        <w:t xml:space="preserve">            </w:t>
      </w:r>
      <w:r w:rsidRPr="00AE6E90">
        <w:rPr>
          <w:rFonts w:ascii="仿宋" w:eastAsia="仿宋" w:hAnsi="仿宋" w:hint="eastAsia"/>
        </w:rPr>
        <w:t xml:space="preserve">刘老师 </w:t>
      </w:r>
      <w:r w:rsidRPr="00AE6E90">
        <w:rPr>
          <w:rFonts w:ascii="仿宋" w:eastAsia="仿宋" w:hAnsi="仿宋"/>
        </w:rPr>
        <w:t>18604497435</w:t>
      </w:r>
      <w:r w:rsidRPr="00AE6E90">
        <w:rPr>
          <w:rFonts w:ascii="仿宋" w:eastAsia="仿宋" w:hAnsi="仿宋" w:hint="eastAsia"/>
        </w:rPr>
        <w:t>（同微信号）</w:t>
      </w:r>
    </w:p>
    <w:p w14:paraId="77A2B383" w14:textId="77777777" w:rsidR="00CC0783" w:rsidRDefault="00CC0783" w:rsidP="00CC0783">
      <w:pPr>
        <w:ind w:firstLineChars="200" w:firstLine="560"/>
        <w:jc w:val="right"/>
        <w:rPr>
          <w:sz w:val="28"/>
          <w:szCs w:val="28"/>
        </w:rPr>
      </w:pPr>
    </w:p>
    <w:p w14:paraId="669233C5" w14:textId="0727C8A0" w:rsidR="00CC0783" w:rsidRDefault="00CC0783">
      <w:pPr>
        <w:widowControl/>
        <w:jc w:val="left"/>
        <w:rPr>
          <w:b/>
          <w:bCs/>
          <w:sz w:val="28"/>
          <w:szCs w:val="28"/>
        </w:rPr>
      </w:pPr>
    </w:p>
    <w:sectPr w:rsidR="00CC0783" w:rsidSect="00CC0783">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424EF" w14:textId="77777777" w:rsidR="00C115CB" w:rsidRDefault="00C115CB" w:rsidP="00CC0783">
      <w:r>
        <w:separator/>
      </w:r>
    </w:p>
  </w:endnote>
  <w:endnote w:type="continuationSeparator" w:id="0">
    <w:p w14:paraId="72D27077" w14:textId="77777777" w:rsidR="00C115CB" w:rsidRDefault="00C115CB" w:rsidP="00CC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A09B" w14:textId="77777777" w:rsidR="00C115CB" w:rsidRDefault="00C115CB" w:rsidP="00CC0783">
      <w:r>
        <w:separator/>
      </w:r>
    </w:p>
  </w:footnote>
  <w:footnote w:type="continuationSeparator" w:id="0">
    <w:p w14:paraId="2A612D5F" w14:textId="77777777" w:rsidR="00C115CB" w:rsidRDefault="00C115CB" w:rsidP="00CC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EE3"/>
    <w:multiLevelType w:val="hybridMultilevel"/>
    <w:tmpl w:val="64860428"/>
    <w:lvl w:ilvl="0" w:tplc="9580B8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89"/>
    <w:rsid w:val="000E3170"/>
    <w:rsid w:val="00471073"/>
    <w:rsid w:val="00856BD0"/>
    <w:rsid w:val="0091517E"/>
    <w:rsid w:val="00933323"/>
    <w:rsid w:val="00AE6E90"/>
    <w:rsid w:val="00C07B3E"/>
    <w:rsid w:val="00C115CB"/>
    <w:rsid w:val="00C3111D"/>
    <w:rsid w:val="00CC0783"/>
    <w:rsid w:val="00F22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389"/>
    <w:pPr>
      <w:ind w:firstLineChars="200" w:firstLine="420"/>
    </w:pPr>
  </w:style>
  <w:style w:type="character" w:styleId="a4">
    <w:name w:val="Hyperlink"/>
    <w:basedOn w:val="a0"/>
    <w:uiPriority w:val="99"/>
    <w:unhideWhenUsed/>
    <w:rsid w:val="000E3170"/>
    <w:rPr>
      <w:color w:val="0563C1" w:themeColor="hyperlink"/>
      <w:u w:val="single"/>
    </w:rPr>
  </w:style>
  <w:style w:type="character" w:customStyle="1" w:styleId="UnresolvedMention">
    <w:name w:val="Unresolved Mention"/>
    <w:basedOn w:val="a0"/>
    <w:uiPriority w:val="99"/>
    <w:semiHidden/>
    <w:unhideWhenUsed/>
    <w:rsid w:val="000E3170"/>
    <w:rPr>
      <w:color w:val="605E5C"/>
      <w:shd w:val="clear" w:color="auto" w:fill="E1DFDD"/>
    </w:rPr>
  </w:style>
  <w:style w:type="paragraph" w:styleId="a5">
    <w:name w:val="header"/>
    <w:basedOn w:val="a"/>
    <w:link w:val="Char"/>
    <w:uiPriority w:val="99"/>
    <w:unhideWhenUsed/>
    <w:rsid w:val="00CC0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0783"/>
    <w:rPr>
      <w:sz w:val="18"/>
      <w:szCs w:val="18"/>
    </w:rPr>
  </w:style>
  <w:style w:type="paragraph" w:styleId="a6">
    <w:name w:val="footer"/>
    <w:basedOn w:val="a"/>
    <w:link w:val="Char0"/>
    <w:uiPriority w:val="99"/>
    <w:unhideWhenUsed/>
    <w:rsid w:val="00CC0783"/>
    <w:pPr>
      <w:tabs>
        <w:tab w:val="center" w:pos="4153"/>
        <w:tab w:val="right" w:pos="8306"/>
      </w:tabs>
      <w:snapToGrid w:val="0"/>
      <w:jc w:val="left"/>
    </w:pPr>
    <w:rPr>
      <w:sz w:val="18"/>
      <w:szCs w:val="18"/>
    </w:rPr>
  </w:style>
  <w:style w:type="character" w:customStyle="1" w:styleId="Char0">
    <w:name w:val="页脚 Char"/>
    <w:basedOn w:val="a0"/>
    <w:link w:val="a6"/>
    <w:uiPriority w:val="99"/>
    <w:rsid w:val="00CC07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389"/>
    <w:pPr>
      <w:ind w:firstLineChars="200" w:firstLine="420"/>
    </w:pPr>
  </w:style>
  <w:style w:type="character" w:styleId="a4">
    <w:name w:val="Hyperlink"/>
    <w:basedOn w:val="a0"/>
    <w:uiPriority w:val="99"/>
    <w:unhideWhenUsed/>
    <w:rsid w:val="000E3170"/>
    <w:rPr>
      <w:color w:val="0563C1" w:themeColor="hyperlink"/>
      <w:u w:val="single"/>
    </w:rPr>
  </w:style>
  <w:style w:type="character" w:customStyle="1" w:styleId="UnresolvedMention">
    <w:name w:val="Unresolved Mention"/>
    <w:basedOn w:val="a0"/>
    <w:uiPriority w:val="99"/>
    <w:semiHidden/>
    <w:unhideWhenUsed/>
    <w:rsid w:val="000E3170"/>
    <w:rPr>
      <w:color w:val="605E5C"/>
      <w:shd w:val="clear" w:color="auto" w:fill="E1DFDD"/>
    </w:rPr>
  </w:style>
  <w:style w:type="paragraph" w:styleId="a5">
    <w:name w:val="header"/>
    <w:basedOn w:val="a"/>
    <w:link w:val="Char"/>
    <w:uiPriority w:val="99"/>
    <w:unhideWhenUsed/>
    <w:rsid w:val="00CC07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0783"/>
    <w:rPr>
      <w:sz w:val="18"/>
      <w:szCs w:val="18"/>
    </w:rPr>
  </w:style>
  <w:style w:type="paragraph" w:styleId="a6">
    <w:name w:val="footer"/>
    <w:basedOn w:val="a"/>
    <w:link w:val="Char0"/>
    <w:uiPriority w:val="99"/>
    <w:unhideWhenUsed/>
    <w:rsid w:val="00CC0783"/>
    <w:pPr>
      <w:tabs>
        <w:tab w:val="center" w:pos="4153"/>
        <w:tab w:val="right" w:pos="8306"/>
      </w:tabs>
      <w:snapToGrid w:val="0"/>
      <w:jc w:val="left"/>
    </w:pPr>
    <w:rPr>
      <w:sz w:val="18"/>
      <w:szCs w:val="18"/>
    </w:rPr>
  </w:style>
  <w:style w:type="character" w:customStyle="1" w:styleId="Char0">
    <w:name w:val="页脚 Char"/>
    <w:basedOn w:val="a0"/>
    <w:link w:val="a6"/>
    <w:uiPriority w:val="99"/>
    <w:rsid w:val="00CC07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beihua.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景瑜 刘</dc:creator>
  <cp:lastModifiedBy>Microsoft</cp:lastModifiedBy>
  <cp:revision>2</cp:revision>
  <cp:lastPrinted>2020-02-22T08:11:00Z</cp:lastPrinted>
  <dcterms:created xsi:type="dcterms:W3CDTF">2020-02-23T03:51:00Z</dcterms:created>
  <dcterms:modified xsi:type="dcterms:W3CDTF">2020-02-23T03:51:00Z</dcterms:modified>
</cp:coreProperties>
</file>