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59" w:rsidRDefault="00BF57C1">
      <w:pPr>
        <w:pStyle w:val="a3"/>
        <w:widowControl/>
        <w:spacing w:before="0" w:beforeAutospacing="0" w:after="0" w:afterAutospacing="0" w:line="400" w:lineRule="exact"/>
        <w:ind w:firstLineChars="800" w:firstLine="2891"/>
        <w:jc w:val="both"/>
        <w:rPr>
          <w:rFonts w:ascii="仿宋" w:eastAsia="仿宋" w:hAnsi="仿宋" w:cs="微软雅黑"/>
          <w:b/>
          <w:sz w:val="36"/>
          <w:szCs w:val="36"/>
        </w:rPr>
      </w:pPr>
      <w:r>
        <w:rPr>
          <w:rFonts w:ascii="仿宋" w:eastAsia="仿宋" w:hAnsi="仿宋" w:cs="微软雅黑" w:hint="eastAsia"/>
          <w:b/>
          <w:sz w:val="36"/>
          <w:szCs w:val="36"/>
        </w:rPr>
        <w:t>职业教育学院</w:t>
      </w:r>
    </w:p>
    <w:p w:rsidR="00DB7D59" w:rsidRDefault="00BF57C1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2020年硕士研究生招生复试调整方案</w:t>
      </w:r>
    </w:p>
    <w:p w:rsidR="00DB7D59" w:rsidRDefault="00BF57C1">
      <w:pPr>
        <w:spacing w:line="400" w:lineRule="exact"/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全日制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专业学位，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lang/>
        </w:rPr>
        <w:t>美术135107</w:t>
      </w:r>
      <w:r>
        <w:rPr>
          <w:rFonts w:hint="eastAsia"/>
          <w:sz w:val="28"/>
          <w:szCs w:val="28"/>
        </w:rPr>
        <w:t>）</w:t>
      </w:r>
    </w:p>
    <w:tbl>
      <w:tblPr>
        <w:tblW w:w="8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2310"/>
        <w:gridCol w:w="2325"/>
        <w:gridCol w:w="2163"/>
      </w:tblGrid>
      <w:tr w:rsidR="00DB7D59">
        <w:trPr>
          <w:jc w:val="center"/>
        </w:trPr>
        <w:tc>
          <w:tcPr>
            <w:tcW w:w="859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D59" w:rsidRDefault="00BF57C1">
            <w:pPr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根据上级部门工作要求及新冠肺炎疫情防控形势，为减少人员流动，保障考生身体健康和生命安全，本着注重科学、切实可行的原则，严守疫情防控和考试公平、公正的底线，现对2020年硕士研究生招生专业复试的考试方案进行了调整，考试形式由原来现场考试调整为网络远程考试，各专业具体考试内容详见下表</w:t>
            </w:r>
          </w:p>
        </w:tc>
      </w:tr>
      <w:tr w:rsidR="00DB7D59">
        <w:trPr>
          <w:trHeight w:val="599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9" w:rsidRDefault="00BF57C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专业代码、名称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br/>
              <w:t>及研究方向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59" w:rsidRDefault="00BF57C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调整后复试、加试科目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D59" w:rsidRDefault="00BF57C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调整后复试方式及要求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7D59" w:rsidRDefault="00BF57C1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导师</w:t>
            </w:r>
          </w:p>
        </w:tc>
      </w:tr>
      <w:tr w:rsidR="007248F1" w:rsidTr="00682177">
        <w:trPr>
          <w:trHeight w:val="6332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48F1" w:rsidRDefault="007248F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14古壁画临摹与保护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F1" w:rsidRDefault="00724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复试：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a.专业基础（古壁画临摹）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b.面试</w:t>
            </w:r>
          </w:p>
          <w:p w:rsidR="007248F1" w:rsidRDefault="007248F1">
            <w:pPr>
              <w:widowControl/>
              <w:jc w:val="left"/>
              <w:rPr>
                <w:szCs w:val="21"/>
              </w:rPr>
            </w:pP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跨学科、同等学力加试：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a.中国美术史</w:t>
            </w:r>
          </w:p>
          <w:p w:rsidR="007248F1" w:rsidRDefault="007248F1" w:rsidP="001454A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b.造型基础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48F1" w:rsidRDefault="00724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a.专业基础（古壁画临摹）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采用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网络考试，时间100分钟，4尺对开熟宣一张。材料为毛笔、墨汁。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其他要求见</w:t>
            </w:r>
            <w:r w:rsidR="00C57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职业教育学院网站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C57628" w:rsidRDefault="00724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素描、专业写生等其他专业技能以提交作品集的方式呈现。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作品集中作品数量总计10件，其中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必须包含：</w:t>
            </w:r>
            <w:r w:rsidRPr="007248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素描、速写、色彩、白描人物（临摹永乐宫壁画或敦煌壁画）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  <w:r w:rsidR="00C57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其他要求见职业教育学院网站。</w:t>
            </w:r>
          </w:p>
          <w:p w:rsidR="007248F1" w:rsidRDefault="007248F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</w:rPr>
              <w:t>b.面试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结合作品集，进行网络面试。</w:t>
            </w: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7248F1" w:rsidRDefault="00724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248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跨学科、同等学力加试：</w:t>
            </w:r>
          </w:p>
          <w:p w:rsidR="007248F1" w:rsidRPr="007248F1" w:rsidRDefault="007248F1" w:rsidP="007248F1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a.</w:t>
            </w:r>
            <w:r w:rsidRPr="007248F1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中国美术史</w:t>
            </w:r>
            <w:r w:rsidRPr="007248F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采用网络远程评委提问的方式进行考试。</w:t>
            </w:r>
          </w:p>
          <w:p w:rsidR="007248F1" w:rsidRPr="007248F1" w:rsidRDefault="007248F1" w:rsidP="007248F1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b.</w:t>
            </w:r>
            <w:r w:rsidRPr="007248F1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造型基础提交素描、色彩作品，不少于3件。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48F1" w:rsidRDefault="007248F1">
            <w:pPr>
              <w:widowControl/>
              <w:rPr>
                <w:rFonts w:ascii="宋体" w:hAnsi="宋体" w:cs="宋体"/>
                <w:color w:val="FF000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李济民</w:t>
            </w:r>
          </w:p>
          <w:p w:rsidR="007248F1" w:rsidRDefault="007248F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48F1" w:rsidRDefault="007248F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248F1" w:rsidRDefault="007248F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张泰捷</w:t>
            </w:r>
          </w:p>
          <w:p w:rsidR="007248F1" w:rsidRDefault="007248F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F57C1" w:rsidRPr="00BF57C1" w:rsidTr="006363F6">
        <w:trPr>
          <w:trHeight w:val="7498"/>
          <w:jc w:val="center"/>
        </w:trPr>
        <w:tc>
          <w:tcPr>
            <w:tcW w:w="180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lastRenderedPageBreak/>
              <w:t>15文物鉴定与保护（含古籍保护、古建筑保护）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F1" w:rsidRPr="00BF57C1" w:rsidRDefault="007248F1">
            <w:pPr>
              <w:widowControl/>
              <w:jc w:val="left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复试：</w:t>
            </w:r>
          </w:p>
          <w:p w:rsidR="007248F1" w:rsidRPr="00BF57C1" w:rsidRDefault="007248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  <w:lang/>
              </w:rPr>
              <w:t>.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专业基础（古籍保护方向：古籍修复与装帧、文献学；古建筑保护方向：中国建筑史、古建筑制图）</w:t>
            </w: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sz w:val="20"/>
                <w:szCs w:val="20"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b.面试</w:t>
            </w: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sz w:val="20"/>
                <w:szCs w:val="20"/>
              </w:rPr>
            </w:pP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sz w:val="20"/>
                <w:szCs w:val="20"/>
              </w:rPr>
            </w:pPr>
          </w:p>
          <w:p w:rsidR="007248F1" w:rsidRPr="00BF57C1" w:rsidRDefault="007248F1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248F1" w:rsidRPr="00BF57C1" w:rsidRDefault="007248F1">
            <w:pPr>
              <w:widowControl/>
              <w:jc w:val="left"/>
              <w:rPr>
                <w:rFonts w:asciiTheme="minorEastAsia" w:hAnsiTheme="minorEastAsia" w:cs="宋体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  <w:lang/>
              </w:rPr>
              <w:t>a.中国美术史</w:t>
            </w: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  <w:lang/>
              </w:rPr>
              <w:t>b.造型基础</w:t>
            </w:r>
          </w:p>
          <w:p w:rsidR="007248F1" w:rsidRPr="00BF57C1" w:rsidRDefault="007248F1" w:rsidP="002725C2">
            <w:pPr>
              <w:rPr>
                <w:rFonts w:asciiTheme="minorEastAsia" w:hAnsiTheme="minorEastAsia" w:cs="宋体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5F5C" w:rsidRPr="00BF57C1" w:rsidRDefault="007248F1" w:rsidP="00185F5C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a.</w:t>
            </w:r>
            <w:r w:rsidR="00185F5C"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专业基础（古籍保护方向：古籍修复与装帧、文献学；古建筑保护方向：中国建筑史、古建筑制图）</w:t>
            </w:r>
          </w:p>
          <w:p w:rsidR="00C57628" w:rsidRDefault="007248F1" w:rsidP="007248F1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专业论文写作能力和其他专业技能</w:t>
            </w:r>
            <w:r w:rsidR="00772FA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在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提交作品集的</w:t>
            </w:r>
            <w:r w:rsidR="00772FA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基础上进行网络面试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。</w:t>
            </w: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作品集中作品数量总计10件，其中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必须包含：素描、色彩、速写。专业方向论文1篇（不少于3000字）</w:t>
            </w: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。</w:t>
            </w:r>
            <w:r w:rsidR="00C576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其他要求见职业教育学院网站。</w:t>
            </w:r>
          </w:p>
          <w:p w:rsidR="007248F1" w:rsidRPr="00BF57C1" w:rsidRDefault="007248F1" w:rsidP="007248F1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b.面试</w:t>
            </w:r>
          </w:p>
          <w:p w:rsidR="007248F1" w:rsidRPr="00BF57C1" w:rsidRDefault="007248F1" w:rsidP="007248F1">
            <w:pPr>
              <w:widowControl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结合作品集，进行网络面试。</w:t>
            </w:r>
          </w:p>
          <w:p w:rsidR="007248F1" w:rsidRPr="00BF57C1" w:rsidRDefault="007248F1" w:rsidP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</w:p>
          <w:p w:rsidR="007248F1" w:rsidRPr="00BF57C1" w:rsidRDefault="007248F1" w:rsidP="007248F1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跨学科、同等学力加试：</w:t>
            </w:r>
          </w:p>
          <w:p w:rsidR="007248F1" w:rsidRPr="00BF57C1" w:rsidRDefault="007248F1" w:rsidP="007248F1">
            <w:pPr>
              <w:widowControl/>
              <w:jc w:val="left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a.中国美术史采用网络远程评委提问的方式进行考试。</w:t>
            </w:r>
          </w:p>
          <w:p w:rsidR="007248F1" w:rsidRPr="00BF57C1" w:rsidRDefault="007248F1" w:rsidP="007248F1">
            <w:pPr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  <w:r w:rsidRPr="00BF57C1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b.造型基础提交素描、色彩作品，不少于3件。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  <w:r w:rsidRPr="00BF57C1">
              <w:rPr>
                <w:rFonts w:asciiTheme="minorEastAsia" w:hAnsiTheme="minorEastAsia" w:cs="宋体" w:hint="eastAsia"/>
                <w:sz w:val="18"/>
                <w:szCs w:val="18"/>
              </w:rPr>
              <w:t>李勇慧</w:t>
            </w: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  <w:lang/>
              </w:rPr>
              <w:t>（古籍保护，外聘）</w:t>
            </w: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  <w:r w:rsidRPr="00BF57C1">
              <w:rPr>
                <w:rFonts w:asciiTheme="minorEastAsia" w:hAnsiTheme="minorEastAsia" w:cs="宋体" w:hint="eastAsia"/>
                <w:kern w:val="0"/>
                <w:sz w:val="18"/>
                <w:szCs w:val="18"/>
                <w:lang/>
              </w:rPr>
              <w:t>杨新寿（古建筑保护，外聘）</w:t>
            </w:r>
          </w:p>
          <w:p w:rsidR="007248F1" w:rsidRPr="00BF57C1" w:rsidRDefault="007248F1">
            <w:pPr>
              <w:widowControl/>
              <w:rPr>
                <w:rFonts w:asciiTheme="minorEastAsia" w:hAnsiTheme="minorEastAsia" w:cs="宋体"/>
                <w:kern w:val="0"/>
                <w:sz w:val="18"/>
                <w:szCs w:val="18"/>
                <w:lang/>
              </w:rPr>
            </w:pPr>
          </w:p>
        </w:tc>
      </w:tr>
    </w:tbl>
    <w:p w:rsidR="00DB7D59" w:rsidRPr="0077162D" w:rsidRDefault="00DB7D59"/>
    <w:sectPr w:rsidR="00DB7D59" w:rsidRPr="0077162D" w:rsidSect="00AE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BD" w:rsidRDefault="00C568BD" w:rsidP="00772FA0">
      <w:r>
        <w:separator/>
      </w:r>
    </w:p>
  </w:endnote>
  <w:endnote w:type="continuationSeparator" w:id="1">
    <w:p w:rsidR="00C568BD" w:rsidRDefault="00C568BD" w:rsidP="0077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BD" w:rsidRDefault="00C568BD" w:rsidP="00772FA0">
      <w:r>
        <w:separator/>
      </w:r>
    </w:p>
  </w:footnote>
  <w:footnote w:type="continuationSeparator" w:id="1">
    <w:p w:rsidR="00C568BD" w:rsidRDefault="00C568BD" w:rsidP="0077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D24"/>
    <w:multiLevelType w:val="hybridMultilevel"/>
    <w:tmpl w:val="61D80950"/>
    <w:lvl w:ilvl="0" w:tplc="CCA6BC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026D25"/>
    <w:multiLevelType w:val="hybridMultilevel"/>
    <w:tmpl w:val="3BAA43A0"/>
    <w:lvl w:ilvl="0" w:tplc="3E7CA706">
      <w:start w:val="1"/>
      <w:numFmt w:val="decimalEnclosedCircle"/>
      <w:lvlText w:val="%1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EB2FA8"/>
    <w:rsid w:val="00185F5C"/>
    <w:rsid w:val="0066546D"/>
    <w:rsid w:val="007248F1"/>
    <w:rsid w:val="0077162D"/>
    <w:rsid w:val="00772FA0"/>
    <w:rsid w:val="00AE3748"/>
    <w:rsid w:val="00BF57C1"/>
    <w:rsid w:val="00C568BD"/>
    <w:rsid w:val="00C57628"/>
    <w:rsid w:val="00DB7D59"/>
    <w:rsid w:val="00EB28EF"/>
    <w:rsid w:val="09EB2FA8"/>
    <w:rsid w:val="0E8203B3"/>
    <w:rsid w:val="1DE042D0"/>
    <w:rsid w:val="2D053CEC"/>
    <w:rsid w:val="403A6BBB"/>
    <w:rsid w:val="56B45480"/>
    <w:rsid w:val="59CB14F0"/>
    <w:rsid w:val="5CAF4A6C"/>
    <w:rsid w:val="6E47132F"/>
    <w:rsid w:val="7531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7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374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AE37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AE3748"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7248F1"/>
    <w:pPr>
      <w:ind w:firstLineChars="200" w:firstLine="420"/>
    </w:pPr>
  </w:style>
  <w:style w:type="paragraph" w:styleId="a7">
    <w:name w:val="header"/>
    <w:basedOn w:val="a"/>
    <w:link w:val="Char"/>
    <w:rsid w:val="00772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72F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72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72F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99"/>
    <w:unhideWhenUsed/>
    <w:rsid w:val="007248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11</cp:revision>
  <cp:lastPrinted>2020-05-24T06:23:00Z</cp:lastPrinted>
  <dcterms:created xsi:type="dcterms:W3CDTF">2020-05-13T07:32:00Z</dcterms:created>
  <dcterms:modified xsi:type="dcterms:W3CDTF">2020-05-24T06:28:00Z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