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赣南师范大学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2020年研究生招生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批复试调剂信息公告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根据第一批复试调剂及录取情况，我校学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园艺学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专业和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电子信息（生物信息学）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专业有调剂缺额，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决定再次开放调剂系统。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本批次复试调剂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系统开放时间：2020年5月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:30起，具体关闭时间视调剂情况决定。系统开放时间不短于12小时。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我校将在调剂系统关闭后根据调剂志愿情况统一发送复试通知。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欢迎广大考生进入研招系统填报我校相关专业。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赣南师范大学研究生院</w:t>
      </w: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2020年5月2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04608"/>
    <w:rsid w:val="7DA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2020-05-25T06:56:00Z</dcterms:created>
  <dc:creator>叫安安的八斤</dc:creator>
  <cp:lastModifiedBy>叫安安的八斤</cp:lastModifiedBy>
  <dcterms:modified xsi:type="dcterms:W3CDTF">2020-05-25T07:14:40Z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