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sz w:val="32"/>
          <w:szCs w:val="32"/>
        </w:rPr>
      </w:pPr>
      <w:r>
        <w:rPr>
          <w:rFonts w:hint="eastAsia" w:ascii="华文中宋" w:hAnsi="华文中宋" w:eastAsia="华文中宋" w:cs="华文中宋"/>
          <w:b/>
          <w:sz w:val="32"/>
          <w:szCs w:val="32"/>
          <w:lang w:eastAsia="zh-CN"/>
        </w:rPr>
        <w:t>微电子</w:t>
      </w:r>
      <w:r>
        <w:rPr>
          <w:rFonts w:hint="eastAsia" w:ascii="华文中宋" w:hAnsi="华文中宋" w:eastAsia="华文中宋" w:cs="华文中宋"/>
          <w:b/>
          <w:sz w:val="32"/>
          <w:szCs w:val="32"/>
        </w:rPr>
        <w:t>学院20</w:t>
      </w:r>
      <w:r>
        <w:rPr>
          <w:rFonts w:hint="eastAsia" w:ascii="华文中宋" w:hAnsi="华文中宋" w:eastAsia="华文中宋" w:cs="华文中宋"/>
          <w:b/>
          <w:sz w:val="32"/>
          <w:szCs w:val="32"/>
          <w:lang w:val="en-US" w:eastAsia="zh-CN"/>
        </w:rPr>
        <w:t>20</w:t>
      </w:r>
      <w:r>
        <w:rPr>
          <w:rFonts w:hint="eastAsia" w:ascii="华文中宋" w:hAnsi="华文中宋" w:eastAsia="华文中宋" w:cs="华文中宋"/>
          <w:b/>
          <w:sz w:val="32"/>
          <w:szCs w:val="32"/>
        </w:rPr>
        <w:t>年硕士研究生复试办法</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为贯彻落实习近平总书记关于统筹推进新冠肺炎疫情防控和经济社会发展工作的重要讲话和重要指示批示精神，落实教育部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辽宁省复试录取工作相关</w:t>
      </w:r>
      <w:r>
        <w:rPr>
          <w:rFonts w:hint="eastAsia" w:ascii="仿宋" w:hAnsi="仿宋" w:eastAsia="仿宋" w:cs="仿宋"/>
          <w:sz w:val="28"/>
          <w:szCs w:val="28"/>
        </w:rPr>
        <w:t>文件精神，</w:t>
      </w:r>
      <w:r>
        <w:rPr>
          <w:rFonts w:hint="eastAsia" w:ascii="仿宋" w:hAnsi="仿宋" w:eastAsia="仿宋" w:cs="仿宋"/>
          <w:sz w:val="28"/>
          <w:szCs w:val="28"/>
          <w:lang w:val="en-US" w:eastAsia="zh-CN"/>
        </w:rPr>
        <w:t>根据《大连理工大学2020年全国硕士研究生招生考试复试录取办法》文件精神和要求，</w:t>
      </w:r>
      <w:r>
        <w:rPr>
          <w:rFonts w:hint="eastAsia" w:ascii="仿宋" w:hAnsi="仿宋" w:eastAsia="仿宋" w:cs="仿宋"/>
          <w:sz w:val="28"/>
          <w:szCs w:val="28"/>
        </w:rPr>
        <w:t>结合我</w:t>
      </w:r>
      <w:r>
        <w:rPr>
          <w:rFonts w:hint="eastAsia" w:ascii="仿宋" w:hAnsi="仿宋" w:eastAsia="仿宋" w:cs="仿宋"/>
          <w:sz w:val="28"/>
          <w:szCs w:val="28"/>
          <w:lang w:val="en-US" w:eastAsia="zh-CN"/>
        </w:rPr>
        <w:t>学院</w:t>
      </w:r>
      <w:r>
        <w:rPr>
          <w:rFonts w:hint="eastAsia" w:ascii="仿宋" w:hAnsi="仿宋" w:eastAsia="仿宋" w:cs="仿宋"/>
          <w:sz w:val="28"/>
          <w:szCs w:val="28"/>
        </w:rPr>
        <w:t>2020年硕士研究生招生复试录取工作实际情况，特制定本</w:t>
      </w:r>
      <w:r>
        <w:rPr>
          <w:rFonts w:hint="eastAsia" w:ascii="仿宋" w:hAnsi="仿宋" w:eastAsia="仿宋" w:cs="仿宋"/>
          <w:sz w:val="28"/>
          <w:szCs w:val="28"/>
          <w:lang w:val="en-US" w:eastAsia="zh-CN"/>
        </w:rPr>
        <w:t>方案</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黑体" w:hAnsi="黑体" w:eastAsia="黑体" w:cs="黑体"/>
          <w:b/>
          <w:sz w:val="28"/>
          <w:szCs w:val="28"/>
          <w:lang w:val="en-US" w:eastAsia="zh-CN"/>
        </w:rPr>
      </w:pPr>
      <w:r>
        <w:rPr>
          <w:rFonts w:hint="eastAsia" w:ascii="黑体" w:hAnsi="黑体" w:eastAsia="黑体" w:cs="黑体"/>
          <w:b/>
          <w:sz w:val="28"/>
          <w:szCs w:val="28"/>
        </w:rPr>
        <w:t>一、</w:t>
      </w:r>
      <w:r>
        <w:rPr>
          <w:rFonts w:hint="eastAsia" w:ascii="黑体" w:hAnsi="黑体" w:eastAsia="黑体" w:cs="黑体"/>
          <w:b/>
          <w:sz w:val="28"/>
          <w:szCs w:val="28"/>
          <w:lang w:val="en-US" w:eastAsia="zh-CN"/>
        </w:rPr>
        <w:t>指导思想</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以习近平新时代中国特色社会主义思想为指导，贯彻落实习近平总书记关于统筹推进新冠肺炎疫情防控和经济社会发展工作的重要讲话和重要指示批示精神，将考生和师生生命安全和身体健康放在第一位</w:t>
      </w:r>
      <w:r>
        <w:rPr>
          <w:rFonts w:hint="eastAsia" w:ascii="仿宋" w:hAnsi="仿宋" w:eastAsia="仿宋" w:cs="仿宋"/>
          <w:sz w:val="28"/>
          <w:szCs w:val="28"/>
          <w:lang w:eastAsia="zh-CN"/>
        </w:rPr>
        <w:t>，</w:t>
      </w:r>
      <w:r>
        <w:rPr>
          <w:rFonts w:hint="eastAsia" w:ascii="仿宋" w:hAnsi="仿宋" w:eastAsia="仿宋" w:cs="仿宋"/>
          <w:sz w:val="28"/>
          <w:szCs w:val="28"/>
        </w:rPr>
        <w:t>在确保安全性、公平性、科学性的基础上，统筹兼顾、</w:t>
      </w:r>
      <w:r>
        <w:rPr>
          <w:rFonts w:hint="eastAsia" w:ascii="仿宋" w:hAnsi="仿宋" w:eastAsia="仿宋" w:cs="仿宋"/>
          <w:sz w:val="28"/>
          <w:szCs w:val="28"/>
          <w:lang w:val="en-US" w:eastAsia="zh-CN"/>
        </w:rPr>
        <w:t>加强</w:t>
      </w:r>
      <w:r>
        <w:rPr>
          <w:rFonts w:hint="eastAsia" w:ascii="仿宋" w:hAnsi="仿宋" w:eastAsia="仿宋" w:cs="仿宋"/>
          <w:sz w:val="28"/>
          <w:szCs w:val="28"/>
        </w:rPr>
        <w:t>管理，</w:t>
      </w:r>
      <w:r>
        <w:rPr>
          <w:rFonts w:hint="eastAsia" w:ascii="仿宋" w:hAnsi="仿宋" w:eastAsia="仿宋" w:cs="仿宋"/>
          <w:sz w:val="28"/>
          <w:szCs w:val="28"/>
          <w:lang w:val="en-US" w:eastAsia="zh-CN"/>
        </w:rPr>
        <w:t>严格执行教育部、辽宁省和学校关于复试录取工作要求，认真</w:t>
      </w:r>
      <w:r>
        <w:rPr>
          <w:rFonts w:hint="eastAsia" w:ascii="仿宋" w:hAnsi="仿宋" w:eastAsia="仿宋" w:cs="仿宋"/>
          <w:sz w:val="28"/>
          <w:szCs w:val="28"/>
        </w:rPr>
        <w:t>做好我</w:t>
      </w:r>
      <w:r>
        <w:rPr>
          <w:rFonts w:hint="eastAsia" w:ascii="仿宋" w:hAnsi="仿宋" w:eastAsia="仿宋" w:cs="仿宋"/>
          <w:sz w:val="28"/>
          <w:szCs w:val="28"/>
          <w:lang w:val="en-US" w:eastAsia="zh-CN"/>
        </w:rPr>
        <w:t>学院</w:t>
      </w:r>
      <w:r>
        <w:rPr>
          <w:rFonts w:hint="eastAsia" w:ascii="仿宋" w:hAnsi="仿宋" w:eastAsia="仿宋" w:cs="仿宋"/>
          <w:sz w:val="28"/>
          <w:szCs w:val="28"/>
        </w:rPr>
        <w:t>2020年全国硕士研究生招生考试复试录取工作。</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黑体" w:hAnsi="黑体" w:eastAsia="黑体" w:cs="黑体"/>
          <w:b/>
          <w:sz w:val="28"/>
          <w:szCs w:val="28"/>
        </w:rPr>
      </w:pPr>
      <w:r>
        <w:rPr>
          <w:rFonts w:hint="eastAsia" w:ascii="黑体" w:hAnsi="黑体" w:eastAsia="黑体" w:cs="黑体"/>
          <w:b/>
          <w:sz w:val="28"/>
          <w:szCs w:val="28"/>
        </w:rPr>
        <w:t>二、管理机构及其职责</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lang w:eastAsia="zh-CN"/>
        </w:rPr>
        <w:t>）</w:t>
      </w:r>
      <w:r>
        <w:rPr>
          <w:rFonts w:hint="eastAsia" w:ascii="仿宋" w:hAnsi="仿宋" w:eastAsia="仿宋" w:cs="仿宋"/>
          <w:b/>
          <w:bCs/>
          <w:sz w:val="28"/>
          <w:szCs w:val="28"/>
        </w:rPr>
        <w:t>研究生招生工作领导小组</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学院</w:t>
      </w:r>
      <w:r>
        <w:rPr>
          <w:rFonts w:hint="eastAsia" w:ascii="仿宋" w:hAnsi="仿宋" w:eastAsia="仿宋" w:cs="仿宋"/>
          <w:sz w:val="28"/>
          <w:szCs w:val="28"/>
        </w:rPr>
        <w:t>研究生招生工作领导小组负责组织实施</w:t>
      </w:r>
      <w:r>
        <w:rPr>
          <w:rFonts w:hint="eastAsia" w:ascii="仿宋" w:hAnsi="仿宋" w:eastAsia="仿宋" w:cs="仿宋"/>
          <w:sz w:val="28"/>
          <w:szCs w:val="28"/>
          <w:lang w:val="en-US" w:eastAsia="zh-CN"/>
        </w:rPr>
        <w:t>学院</w:t>
      </w:r>
      <w:r>
        <w:rPr>
          <w:rFonts w:hint="eastAsia" w:ascii="仿宋" w:hAnsi="仿宋" w:eastAsia="仿宋" w:cs="仿宋"/>
          <w:sz w:val="28"/>
          <w:szCs w:val="28"/>
        </w:rPr>
        <w:t>研究生复试录取工作。其职责是：</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1.制定符合学科特点的复试录取工作办法和程序，组织开展本单位研究生复试录取的各项工作；</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2.制定各专业招生计划分配方案，确定专业复试比例及复试名单；</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3.选派经验丰富、业务水平高、公道正派的正式在编人员参与复试工作，对全部工作人员进行政策、业务、纪律等方面的培训；</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4.对复试过程、信息公开、录取结果负责。</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lang w:eastAsia="zh-CN"/>
        </w:rPr>
        <w:t>）研究生招生工作监督小组</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1.对复试录取各环节进行监督。</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2.接收考生的举报、投诉等事宜，并及时调查处理。</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三</w:t>
      </w:r>
      <w:r>
        <w:rPr>
          <w:rFonts w:hint="eastAsia" w:ascii="仿宋" w:hAnsi="仿宋" w:eastAsia="仿宋" w:cs="仿宋"/>
          <w:b/>
          <w:bCs/>
          <w:sz w:val="28"/>
          <w:szCs w:val="28"/>
          <w:lang w:eastAsia="zh-CN"/>
        </w:rPr>
        <w:t>）复试小组</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复试小组专家成员不少于5人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负责组织复试工作</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根据参加复试的人数情况可成立若干复试小组，复试小组成员须随机分配进组，其主要职责是：</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1.负责本学科</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专业或领域</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复试考核的实施；</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2.明确复试专家在复试工作中的权利、责任和纪律，规范其工作行为。在复试前应召开复试小组会议，明确工作纪律和工作程序、评判规则和评判标准；</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3.专家复试小组成员须现场独立评分，评分记录和考生作答情况任何人不得改动，并第一时间交由</w:t>
      </w:r>
      <w:r>
        <w:rPr>
          <w:rFonts w:hint="eastAsia" w:ascii="仿宋" w:hAnsi="仿宋" w:eastAsia="仿宋" w:cs="仿宋"/>
          <w:color w:val="auto"/>
          <w:sz w:val="28"/>
          <w:szCs w:val="28"/>
          <w:lang w:val="en-US" w:eastAsia="zh-CN"/>
        </w:rPr>
        <w:t>学院</w:t>
      </w:r>
      <w:r>
        <w:rPr>
          <w:rFonts w:hint="eastAsia" w:ascii="仿宋" w:hAnsi="仿宋" w:eastAsia="仿宋" w:cs="仿宋"/>
          <w:color w:val="auto"/>
          <w:sz w:val="28"/>
          <w:szCs w:val="28"/>
        </w:rPr>
        <w:t>集中统一管理。</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黑体" w:hAnsi="黑体" w:eastAsia="黑体" w:cs="黑体"/>
          <w:b/>
          <w:sz w:val="28"/>
          <w:szCs w:val="28"/>
        </w:rPr>
      </w:pPr>
      <w:r>
        <w:rPr>
          <w:rFonts w:hint="eastAsia" w:ascii="黑体" w:hAnsi="黑体" w:eastAsia="黑体" w:cs="黑体"/>
          <w:b/>
          <w:sz w:val="28"/>
          <w:szCs w:val="28"/>
        </w:rPr>
        <w:t>三、复试</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lang w:val="en-US" w:eastAsia="zh-CN"/>
        </w:rPr>
        <w:t>根据相关文件精神，本着将考生和师生的生命安全和身体健康放在第一位的原则，我学院2020年硕士研究生招生复试采取网</w:t>
      </w:r>
      <w:r>
        <w:rPr>
          <w:rFonts w:hint="eastAsia" w:ascii="仿宋" w:hAnsi="仿宋" w:eastAsia="仿宋" w:cs="仿宋"/>
          <w:sz w:val="28"/>
          <w:szCs w:val="28"/>
        </w:rPr>
        <w:t>络远程面试方式</w:t>
      </w:r>
      <w:r>
        <w:rPr>
          <w:rFonts w:hint="eastAsia" w:ascii="仿宋" w:hAnsi="仿宋" w:eastAsia="仿宋" w:cs="仿宋"/>
          <w:sz w:val="28"/>
          <w:szCs w:val="28"/>
          <w:lang w:eastAsia="zh-CN"/>
        </w:rPr>
        <w:t>，</w:t>
      </w:r>
      <w:r>
        <w:rPr>
          <w:rFonts w:hint="eastAsia" w:ascii="仿宋" w:hAnsi="仿宋" w:eastAsia="仿宋" w:cs="仿宋"/>
          <w:sz w:val="28"/>
          <w:szCs w:val="28"/>
          <w:highlight w:val="none"/>
        </w:rPr>
        <w:t>招生简章中规定的复试笔试内容将通过面试进行考察</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sz w:val="28"/>
          <w:szCs w:val="28"/>
        </w:rPr>
        <w:t>参加复试考生需满足学科专业的复试分数基本要求，通过复试资格审查。实行差额复试，复试比</w:t>
      </w:r>
      <w:r>
        <w:rPr>
          <w:rFonts w:hint="eastAsia" w:ascii="仿宋" w:hAnsi="仿宋" w:eastAsia="仿宋" w:cs="仿宋"/>
          <w:color w:val="auto"/>
          <w:sz w:val="28"/>
          <w:szCs w:val="28"/>
        </w:rPr>
        <w:t>例为1</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0%，即复试人数为本学科（类别）、专业（领域）招生计划（不含推免生）的1</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0%。</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lang w:eastAsia="zh-CN"/>
        </w:rPr>
        <w:t>）复试范围</w:t>
      </w:r>
    </w:p>
    <w:p>
      <w:pPr>
        <w:keepNext w:val="0"/>
        <w:keepLines w:val="0"/>
        <w:pageBreakBefore w:val="0"/>
        <w:widowControl w:val="0"/>
        <w:tabs>
          <w:tab w:val="left" w:pos="312"/>
        </w:tabs>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复试专业分数线</w:t>
      </w:r>
    </w:p>
    <w:tbl>
      <w:tblPr>
        <w:tblStyle w:val="6"/>
        <w:tblW w:w="8745"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2190"/>
        <w:gridCol w:w="810"/>
        <w:gridCol w:w="870"/>
        <w:gridCol w:w="1260"/>
        <w:gridCol w:w="141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keepNext w:val="0"/>
              <w:keepLines w:val="0"/>
              <w:pageBreakBefore w:val="0"/>
              <w:widowControl w:val="0"/>
              <w:tabs>
                <w:tab w:val="left" w:pos="312"/>
              </w:tabs>
              <w:kinsoku/>
              <w:wordWrap/>
              <w:overflowPunct/>
              <w:topLinePunct w:val="0"/>
              <w:autoSpaceDE/>
              <w:autoSpaceDN/>
              <w:bidi w:val="0"/>
              <w:spacing w:line="240" w:lineRule="auto"/>
              <w:textAlignment w:val="auto"/>
              <w:rPr>
                <w:rFonts w:hint="eastAsia" w:ascii="仿宋" w:hAnsi="仿宋" w:eastAsia="仿宋" w:cs="仿宋"/>
                <w:color w:val="000000" w:themeColor="text1"/>
                <w:sz w:val="24"/>
                <w:szCs w:val="24"/>
                <w:highlight w:val="none"/>
                <w:vertAlign w:val="baseline"/>
                <w:lang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eastAsia="zh-CN"/>
                <w14:textFill>
                  <w14:solidFill>
                    <w14:schemeClr w14:val="tx1"/>
                  </w14:solidFill>
                </w14:textFill>
              </w:rPr>
              <w:t>专业代码</w:t>
            </w:r>
          </w:p>
        </w:tc>
        <w:tc>
          <w:tcPr>
            <w:tcW w:w="2190" w:type="dxa"/>
          </w:tcPr>
          <w:p>
            <w:pPr>
              <w:keepNext w:val="0"/>
              <w:keepLines w:val="0"/>
              <w:pageBreakBefore w:val="0"/>
              <w:widowControl w:val="0"/>
              <w:tabs>
                <w:tab w:val="left" w:pos="312"/>
              </w:tabs>
              <w:kinsoku/>
              <w:wordWrap/>
              <w:overflowPunct/>
              <w:topLinePunct w:val="0"/>
              <w:autoSpaceDE/>
              <w:autoSpaceDN/>
              <w:bidi w:val="0"/>
              <w:spacing w:line="240" w:lineRule="auto"/>
              <w:textAlignment w:val="auto"/>
              <w:rPr>
                <w:rFonts w:hint="eastAsia" w:ascii="仿宋" w:hAnsi="仿宋" w:eastAsia="仿宋" w:cs="仿宋"/>
                <w:color w:val="000000" w:themeColor="text1"/>
                <w:sz w:val="24"/>
                <w:szCs w:val="24"/>
                <w:highlight w:val="none"/>
                <w:vertAlign w:val="baseline"/>
                <w:lang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eastAsia="zh-CN"/>
                <w14:textFill>
                  <w14:solidFill>
                    <w14:schemeClr w14:val="tx1"/>
                  </w14:solidFill>
                </w14:textFill>
              </w:rPr>
              <w:t>专业名称</w:t>
            </w:r>
          </w:p>
        </w:tc>
        <w:tc>
          <w:tcPr>
            <w:tcW w:w="810" w:type="dxa"/>
          </w:tcPr>
          <w:p>
            <w:pPr>
              <w:keepNext w:val="0"/>
              <w:keepLines w:val="0"/>
              <w:pageBreakBefore w:val="0"/>
              <w:widowControl w:val="0"/>
              <w:tabs>
                <w:tab w:val="left" w:pos="312"/>
              </w:tabs>
              <w:kinsoku/>
              <w:wordWrap/>
              <w:overflowPunct/>
              <w:topLinePunct w:val="0"/>
              <w:autoSpaceDE/>
              <w:autoSpaceDN/>
              <w:bidi w:val="0"/>
              <w:spacing w:line="240" w:lineRule="auto"/>
              <w:textAlignment w:val="auto"/>
              <w:rPr>
                <w:rFonts w:hint="eastAsia" w:ascii="仿宋" w:hAnsi="仿宋" w:eastAsia="仿宋" w:cs="仿宋"/>
                <w:color w:val="000000" w:themeColor="text1"/>
                <w:sz w:val="24"/>
                <w:szCs w:val="24"/>
                <w:highlight w:val="none"/>
                <w:vertAlign w:val="baseline"/>
                <w:lang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eastAsia="zh-CN"/>
                <w14:textFill>
                  <w14:solidFill>
                    <w14:schemeClr w14:val="tx1"/>
                  </w14:solidFill>
                </w14:textFill>
              </w:rPr>
              <w:t>政治</w:t>
            </w:r>
          </w:p>
        </w:tc>
        <w:tc>
          <w:tcPr>
            <w:tcW w:w="870" w:type="dxa"/>
          </w:tcPr>
          <w:p>
            <w:pPr>
              <w:keepNext w:val="0"/>
              <w:keepLines w:val="0"/>
              <w:pageBreakBefore w:val="0"/>
              <w:widowControl w:val="0"/>
              <w:tabs>
                <w:tab w:val="left" w:pos="312"/>
              </w:tabs>
              <w:kinsoku/>
              <w:wordWrap/>
              <w:overflowPunct/>
              <w:topLinePunct w:val="0"/>
              <w:autoSpaceDE/>
              <w:autoSpaceDN/>
              <w:bidi w:val="0"/>
              <w:spacing w:line="240" w:lineRule="auto"/>
              <w:textAlignment w:val="auto"/>
              <w:rPr>
                <w:rFonts w:hint="eastAsia" w:ascii="仿宋" w:hAnsi="仿宋" w:eastAsia="仿宋" w:cs="仿宋"/>
                <w:color w:val="000000" w:themeColor="text1"/>
                <w:sz w:val="24"/>
                <w:szCs w:val="24"/>
                <w:highlight w:val="none"/>
                <w:vertAlign w:val="baseline"/>
                <w:lang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eastAsia="zh-CN"/>
                <w14:textFill>
                  <w14:solidFill>
                    <w14:schemeClr w14:val="tx1"/>
                  </w14:solidFill>
                </w14:textFill>
              </w:rPr>
              <w:t>外语</w:t>
            </w:r>
          </w:p>
        </w:tc>
        <w:tc>
          <w:tcPr>
            <w:tcW w:w="1260" w:type="dxa"/>
            <w:vAlign w:val="top"/>
          </w:tcPr>
          <w:p>
            <w:pPr>
              <w:keepNext w:val="0"/>
              <w:keepLines w:val="0"/>
              <w:pageBreakBefore w:val="0"/>
              <w:widowControl w:val="0"/>
              <w:tabs>
                <w:tab w:val="left" w:pos="312"/>
              </w:tabs>
              <w:kinsoku/>
              <w:wordWrap/>
              <w:overflowPunct/>
              <w:topLinePunct w:val="0"/>
              <w:autoSpaceDE/>
              <w:autoSpaceDN/>
              <w:bidi w:val="0"/>
              <w:spacing w:line="240" w:lineRule="auto"/>
              <w:textAlignment w:val="auto"/>
              <w:rPr>
                <w:rFonts w:hint="eastAsia" w:ascii="仿宋" w:hAnsi="仿宋" w:eastAsia="仿宋" w:cs="仿宋"/>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vertAlign w:val="baseline"/>
                <w:lang w:eastAsia="zh-CN"/>
                <w14:textFill>
                  <w14:solidFill>
                    <w14:schemeClr w14:val="tx1"/>
                  </w14:solidFill>
                </w14:textFill>
              </w:rPr>
              <w:t>业务课</w:t>
            </w: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1</w:t>
            </w:r>
          </w:p>
        </w:tc>
        <w:tc>
          <w:tcPr>
            <w:tcW w:w="1410" w:type="dxa"/>
          </w:tcPr>
          <w:p>
            <w:pPr>
              <w:keepNext w:val="0"/>
              <w:keepLines w:val="0"/>
              <w:pageBreakBefore w:val="0"/>
              <w:widowControl w:val="0"/>
              <w:tabs>
                <w:tab w:val="left" w:pos="312"/>
              </w:tabs>
              <w:kinsoku/>
              <w:wordWrap/>
              <w:overflowPunct/>
              <w:topLinePunct w:val="0"/>
              <w:autoSpaceDE/>
              <w:autoSpaceDN/>
              <w:bidi w:val="0"/>
              <w:spacing w:line="240" w:lineRule="auto"/>
              <w:textAlignment w:val="auto"/>
              <w:rPr>
                <w:rFonts w:hint="default"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eastAsia="zh-CN"/>
                <w14:textFill>
                  <w14:solidFill>
                    <w14:schemeClr w14:val="tx1"/>
                  </w14:solidFill>
                </w14:textFill>
              </w:rPr>
              <w:t>业务课</w:t>
            </w: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2</w:t>
            </w:r>
          </w:p>
        </w:tc>
        <w:tc>
          <w:tcPr>
            <w:tcW w:w="840" w:type="dxa"/>
          </w:tcPr>
          <w:p>
            <w:pPr>
              <w:keepNext w:val="0"/>
              <w:keepLines w:val="0"/>
              <w:pageBreakBefore w:val="0"/>
              <w:widowControl w:val="0"/>
              <w:tabs>
                <w:tab w:val="left" w:pos="312"/>
              </w:tabs>
              <w:kinsoku/>
              <w:wordWrap/>
              <w:overflowPunct/>
              <w:topLinePunct w:val="0"/>
              <w:autoSpaceDE/>
              <w:autoSpaceDN/>
              <w:bidi w:val="0"/>
              <w:spacing w:line="240" w:lineRule="auto"/>
              <w:textAlignment w:val="auto"/>
              <w:rPr>
                <w:rFonts w:hint="eastAsia" w:ascii="仿宋" w:hAnsi="仿宋" w:eastAsia="仿宋" w:cs="仿宋"/>
                <w:color w:val="000000" w:themeColor="text1"/>
                <w:sz w:val="24"/>
                <w:szCs w:val="24"/>
                <w:highlight w:val="none"/>
                <w:vertAlign w:val="baseline"/>
                <w:lang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eastAsia="zh-CN"/>
                <w14:textFill>
                  <w14:solidFill>
                    <w14:schemeClr w14:val="tx1"/>
                  </w14:solidFill>
                </w14:textFill>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keepNext w:val="0"/>
              <w:keepLines w:val="0"/>
              <w:pageBreakBefore w:val="0"/>
              <w:widowControl w:val="0"/>
              <w:tabs>
                <w:tab w:val="left" w:pos="312"/>
              </w:tabs>
              <w:kinsoku/>
              <w:wordWrap/>
              <w:overflowPunct/>
              <w:topLinePunct w:val="0"/>
              <w:autoSpaceDE/>
              <w:autoSpaceDN/>
              <w:bidi w:val="0"/>
              <w:spacing w:line="240" w:lineRule="auto"/>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080900</w:t>
            </w:r>
          </w:p>
        </w:tc>
        <w:tc>
          <w:tcPr>
            <w:tcW w:w="2190" w:type="dxa"/>
          </w:tcPr>
          <w:p>
            <w:pPr>
              <w:keepNext w:val="0"/>
              <w:keepLines w:val="0"/>
              <w:pageBreakBefore w:val="0"/>
              <w:widowControl w:val="0"/>
              <w:tabs>
                <w:tab w:val="left" w:pos="312"/>
              </w:tabs>
              <w:kinsoku/>
              <w:wordWrap/>
              <w:overflowPunct/>
              <w:topLinePunct w:val="0"/>
              <w:autoSpaceDE/>
              <w:autoSpaceDN/>
              <w:bidi w:val="0"/>
              <w:spacing w:line="240" w:lineRule="auto"/>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电子科学与技术</w:t>
            </w:r>
          </w:p>
        </w:tc>
        <w:tc>
          <w:tcPr>
            <w:tcW w:w="810" w:type="dxa"/>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45</w:t>
            </w:r>
          </w:p>
        </w:tc>
        <w:tc>
          <w:tcPr>
            <w:tcW w:w="870" w:type="dxa"/>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45</w:t>
            </w:r>
          </w:p>
        </w:tc>
        <w:tc>
          <w:tcPr>
            <w:tcW w:w="1260" w:type="dxa"/>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65</w:t>
            </w:r>
          </w:p>
        </w:tc>
        <w:tc>
          <w:tcPr>
            <w:tcW w:w="1410" w:type="dxa"/>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75</w:t>
            </w:r>
          </w:p>
        </w:tc>
        <w:tc>
          <w:tcPr>
            <w:tcW w:w="840" w:type="dxa"/>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keepNext w:val="0"/>
              <w:keepLines w:val="0"/>
              <w:pageBreakBefore w:val="0"/>
              <w:widowControl w:val="0"/>
              <w:tabs>
                <w:tab w:val="left" w:pos="312"/>
              </w:tabs>
              <w:kinsoku/>
              <w:wordWrap/>
              <w:overflowPunct/>
              <w:topLinePunct w:val="0"/>
              <w:autoSpaceDE/>
              <w:autoSpaceDN/>
              <w:bidi w:val="0"/>
              <w:spacing w:line="240" w:lineRule="auto"/>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085400</w:t>
            </w:r>
          </w:p>
        </w:tc>
        <w:tc>
          <w:tcPr>
            <w:tcW w:w="2190" w:type="dxa"/>
          </w:tcPr>
          <w:p>
            <w:pPr>
              <w:keepNext w:val="0"/>
              <w:keepLines w:val="0"/>
              <w:pageBreakBefore w:val="0"/>
              <w:widowControl w:val="0"/>
              <w:tabs>
                <w:tab w:val="left" w:pos="312"/>
              </w:tabs>
              <w:kinsoku/>
              <w:wordWrap/>
              <w:overflowPunct/>
              <w:topLinePunct w:val="0"/>
              <w:autoSpaceDE/>
              <w:autoSpaceDN/>
              <w:bidi w:val="0"/>
              <w:spacing w:line="240" w:lineRule="auto"/>
              <w:textAlignment w:val="auto"/>
              <w:rPr>
                <w:rFonts w:hint="eastAsia" w:ascii="仿宋" w:hAnsi="仿宋" w:eastAsia="仿宋" w:cs="仿宋"/>
                <w:sz w:val="24"/>
                <w:szCs w:val="24"/>
                <w:highlight w:val="none"/>
                <w:vertAlign w:val="baseline"/>
                <w:lang w:eastAsia="zh-CN"/>
              </w:rPr>
            </w:pPr>
            <w:r>
              <w:rPr>
                <w:rFonts w:hint="eastAsia" w:ascii="仿宋" w:hAnsi="仿宋" w:eastAsia="仿宋" w:cs="仿宋"/>
                <w:sz w:val="24"/>
                <w:szCs w:val="24"/>
                <w:highlight w:val="none"/>
                <w:vertAlign w:val="baseline"/>
                <w:lang w:eastAsia="zh-CN"/>
              </w:rPr>
              <w:t>电子信息</w:t>
            </w:r>
          </w:p>
        </w:tc>
        <w:tc>
          <w:tcPr>
            <w:tcW w:w="810" w:type="dxa"/>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45</w:t>
            </w:r>
          </w:p>
        </w:tc>
        <w:tc>
          <w:tcPr>
            <w:tcW w:w="870" w:type="dxa"/>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45</w:t>
            </w:r>
          </w:p>
        </w:tc>
        <w:tc>
          <w:tcPr>
            <w:tcW w:w="1260" w:type="dxa"/>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60</w:t>
            </w:r>
          </w:p>
        </w:tc>
        <w:tc>
          <w:tcPr>
            <w:tcW w:w="1410" w:type="dxa"/>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75</w:t>
            </w:r>
          </w:p>
        </w:tc>
        <w:tc>
          <w:tcPr>
            <w:tcW w:w="840" w:type="dxa"/>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296</w:t>
            </w:r>
          </w:p>
        </w:tc>
      </w:tr>
    </w:tbl>
    <w:p>
      <w:pPr>
        <w:keepNext w:val="0"/>
        <w:keepLines w:val="0"/>
        <w:pageBreakBefore w:val="0"/>
        <w:widowControl w:val="0"/>
        <w:numPr>
          <w:ilvl w:val="0"/>
          <w:numId w:val="0"/>
        </w:numPr>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各专业（研究方向）拟招生计划</w:t>
      </w:r>
    </w:p>
    <w:tbl>
      <w:tblPr>
        <w:tblStyle w:val="5"/>
        <w:tblW w:w="5413" w:type="dxa"/>
        <w:jc w:val="center"/>
        <w:shd w:val="clear" w:color="auto" w:fill="auto"/>
        <w:tblLayout w:type="fixed"/>
        <w:tblCellMar>
          <w:top w:w="0" w:type="dxa"/>
          <w:left w:w="0" w:type="dxa"/>
          <w:bottom w:w="0" w:type="dxa"/>
          <w:right w:w="0" w:type="dxa"/>
        </w:tblCellMar>
      </w:tblPr>
      <w:tblGrid>
        <w:gridCol w:w="1577"/>
        <w:gridCol w:w="1931"/>
        <w:gridCol w:w="1905"/>
      </w:tblGrid>
      <w:tr>
        <w:tblPrEx>
          <w:shd w:val="clear" w:color="auto" w:fill="auto"/>
          <w:tblCellMar>
            <w:top w:w="0" w:type="dxa"/>
            <w:left w:w="0" w:type="dxa"/>
            <w:bottom w:w="0" w:type="dxa"/>
            <w:right w:w="0" w:type="dxa"/>
          </w:tblCellMar>
        </w:tblPrEx>
        <w:trPr>
          <w:trHeight w:val="480"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专业代码</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专业名称（方向）</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统考拟招生计划</w:t>
            </w:r>
          </w:p>
        </w:tc>
      </w:tr>
      <w:tr>
        <w:tblPrEx>
          <w:tblCellMar>
            <w:top w:w="0" w:type="dxa"/>
            <w:left w:w="0" w:type="dxa"/>
            <w:bottom w:w="0" w:type="dxa"/>
            <w:right w:w="0" w:type="dxa"/>
          </w:tblCellMar>
        </w:tblPrEx>
        <w:trPr>
          <w:trHeight w:val="395"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080900</w:t>
            </w:r>
          </w:p>
        </w:tc>
        <w:tc>
          <w:tcPr>
            <w:tcW w:w="1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电子科学与技术</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20</w:t>
            </w:r>
          </w:p>
        </w:tc>
      </w:tr>
      <w:tr>
        <w:tblPrEx>
          <w:tblCellMar>
            <w:top w:w="0" w:type="dxa"/>
            <w:left w:w="0" w:type="dxa"/>
            <w:bottom w:w="0" w:type="dxa"/>
            <w:right w:w="0" w:type="dxa"/>
          </w:tblCellMar>
        </w:tblPrEx>
        <w:trPr>
          <w:trHeight w:val="420" w:hRule="atLeast"/>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085400</w:t>
            </w:r>
          </w:p>
        </w:tc>
        <w:tc>
          <w:tcPr>
            <w:tcW w:w="1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电子信息</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tabs>
                <w:tab w:val="left" w:pos="312"/>
              </w:tabs>
              <w:kinsoku/>
              <w:wordWrap/>
              <w:overflowPunct/>
              <w:topLinePunct w:val="0"/>
              <w:autoSpaceDE/>
              <w:autoSpaceDN/>
              <w:bidi w:val="0"/>
              <w:spacing w:line="240" w:lineRule="auto"/>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36</w:t>
            </w:r>
          </w:p>
        </w:tc>
      </w:tr>
    </w:tbl>
    <w:p>
      <w:pPr>
        <w:keepNext w:val="0"/>
        <w:keepLines w:val="0"/>
        <w:pageBreakBefore w:val="0"/>
        <w:widowControl w:val="0"/>
        <w:numPr>
          <w:ilvl w:val="0"/>
          <w:numId w:val="0"/>
        </w:numPr>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复试名单</w:t>
      </w:r>
    </w:p>
    <w:p>
      <w:pPr>
        <w:keepNext w:val="0"/>
        <w:keepLines w:val="0"/>
        <w:pageBreakBefore w:val="0"/>
        <w:widowControl w:val="0"/>
        <w:numPr>
          <w:ilvl w:val="0"/>
          <w:numId w:val="0"/>
        </w:numPr>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eastAsia="zh-CN"/>
        </w:rPr>
        <w:t>复试资格考生名单见</w:t>
      </w:r>
      <w:r>
        <w:rPr>
          <w:rFonts w:hint="eastAsia" w:ascii="仿宋" w:hAnsi="仿宋" w:eastAsia="仿宋" w:cs="仿宋"/>
          <w:sz w:val="28"/>
          <w:szCs w:val="28"/>
          <w:highlight w:val="none"/>
        </w:rPr>
        <w:t>附件</w:t>
      </w:r>
      <w:r>
        <w:rPr>
          <w:rFonts w:hint="eastAsia" w:ascii="仿宋" w:hAnsi="仿宋" w:eastAsia="仿宋" w:cs="仿宋"/>
          <w:sz w:val="28"/>
          <w:szCs w:val="28"/>
          <w:highlight w:val="none"/>
          <w:lang w:val="en-US" w:eastAsia="zh-CN"/>
        </w:rPr>
        <w:t>1。</w:t>
      </w:r>
    </w:p>
    <w:p>
      <w:pPr>
        <w:keepNext w:val="0"/>
        <w:keepLines w:val="0"/>
        <w:pageBreakBefore w:val="0"/>
        <w:widowControl w:val="0"/>
        <w:numPr>
          <w:ilvl w:val="0"/>
          <w:numId w:val="0"/>
        </w:numPr>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4.夏令营政策</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考核合格但未获得所在学校推荐免试研究生资格的营员，在全国硕士研究生招生考试中一志愿报考我院，初试分数达到我校公布的2020年各学科门类复试基本分数线（含总分、单科分数）标准，可进入复试，按照排序规则，同等条件下优先录取。</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复试</w:t>
      </w:r>
      <w:r>
        <w:rPr>
          <w:rFonts w:hint="eastAsia" w:ascii="仿宋" w:hAnsi="仿宋" w:eastAsia="仿宋" w:cs="仿宋"/>
          <w:b/>
          <w:bCs/>
          <w:sz w:val="28"/>
          <w:szCs w:val="28"/>
          <w:lang w:eastAsia="zh-CN"/>
        </w:rPr>
        <w:t>资格审查</w:t>
      </w:r>
      <w:r>
        <w:rPr>
          <w:rFonts w:hint="eastAsia" w:ascii="仿宋" w:hAnsi="仿宋" w:eastAsia="仿宋" w:cs="仿宋"/>
          <w:b/>
          <w:bCs/>
          <w:sz w:val="28"/>
          <w:szCs w:val="28"/>
          <w:lang w:val="en-US" w:eastAsia="zh-CN"/>
        </w:rPr>
        <w:t>及既往材料要求</w:t>
      </w:r>
    </w:p>
    <w:p>
      <w:pPr>
        <w:keepNext w:val="0"/>
        <w:keepLines w:val="0"/>
        <w:pageBreakBefore w:val="0"/>
        <w:widowControl w:val="0"/>
        <w:tabs>
          <w:tab w:val="left" w:pos="312"/>
        </w:tabs>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对考生复试资格进行网络线上审查</w:t>
      </w:r>
      <w:r>
        <w:rPr>
          <w:rFonts w:hint="eastAsia" w:ascii="仿宋" w:hAnsi="仿宋" w:eastAsia="仿宋" w:cs="仿宋"/>
          <w:sz w:val="28"/>
          <w:szCs w:val="28"/>
          <w:lang w:eastAsia="zh-CN"/>
        </w:rPr>
        <w:t>，考生须</w:t>
      </w:r>
      <w:r>
        <w:rPr>
          <w:rFonts w:hint="eastAsia" w:ascii="仿宋" w:hAnsi="仿宋" w:eastAsia="仿宋" w:cs="仿宋"/>
          <w:sz w:val="28"/>
          <w:szCs w:val="28"/>
          <w:lang w:val="en-US" w:eastAsia="zh-CN"/>
        </w:rPr>
        <w:t>在5月3日前通过大连理工大学研究生招生管理信息系统中的复试材料上传模块</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系统网址：http://202.118.65.123:8080/ksxt/login.aspx</w:t>
      </w:r>
      <w:r>
        <w:rPr>
          <w:rFonts w:hint="eastAsia" w:ascii="仿宋" w:hAnsi="仿宋" w:eastAsia="仿宋" w:cs="仿宋"/>
          <w:sz w:val="28"/>
          <w:szCs w:val="28"/>
          <w:lang w:eastAsia="zh-CN"/>
        </w:rPr>
        <w:t>）上传下列证件</w:t>
      </w:r>
      <w:r>
        <w:rPr>
          <w:rFonts w:hint="eastAsia" w:ascii="仿宋" w:hAnsi="仿宋" w:eastAsia="仿宋" w:cs="仿宋"/>
          <w:sz w:val="28"/>
          <w:szCs w:val="28"/>
          <w:lang w:val="en-US" w:eastAsia="zh-CN"/>
        </w:rPr>
        <w:t>及材料</w:t>
      </w:r>
      <w:r>
        <w:rPr>
          <w:rFonts w:hint="eastAsia" w:ascii="仿宋" w:hAnsi="仿宋" w:eastAsia="仿宋" w:cs="仿宋"/>
          <w:sz w:val="28"/>
          <w:szCs w:val="28"/>
          <w:lang w:eastAsia="zh-CN"/>
        </w:rPr>
        <w:t>扫描件或照片（</w:t>
      </w:r>
      <w:r>
        <w:rPr>
          <w:rFonts w:hint="eastAsia" w:ascii="仿宋" w:hAnsi="仿宋" w:eastAsia="仿宋" w:cs="仿宋"/>
          <w:sz w:val="28"/>
          <w:szCs w:val="28"/>
          <w:lang w:val="en-US" w:eastAsia="zh-CN"/>
        </w:rPr>
        <w:t>除第7条</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准考证</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.身份证（正反面）。其中少数民族考生身份以报考时查验的身份证为准，复试时不得更改。少数民族地区以国务院有关部门公布的《全国民族区域自治地方简表》为准；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.往届考生的学历学位证书，应届考生的学生证（</w:t>
      </w:r>
      <w:r>
        <w:rPr>
          <w:rFonts w:hint="eastAsia" w:ascii="仿宋" w:hAnsi="仿宋" w:eastAsia="仿宋" w:cs="仿宋"/>
          <w:sz w:val="28"/>
          <w:szCs w:val="28"/>
          <w:lang w:eastAsia="zh-CN"/>
        </w:rPr>
        <w:t>或能够证明在学情况的相关材料</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.未通过网上学历(学籍)校验的考生需提供相关学历（学籍）</w:t>
      </w:r>
      <w:r>
        <w:rPr>
          <w:rFonts w:hint="eastAsia" w:ascii="仿宋" w:hAnsi="仿宋" w:eastAsia="仿宋" w:cs="仿宋"/>
          <w:sz w:val="28"/>
          <w:szCs w:val="28"/>
          <w:lang w:val="en-US" w:eastAsia="zh-CN"/>
        </w:rPr>
        <w:t>的</w:t>
      </w:r>
      <w:r>
        <w:rPr>
          <w:rFonts w:hint="eastAsia" w:ascii="仿宋" w:hAnsi="仿宋" w:eastAsia="仿宋" w:cs="仿宋"/>
          <w:sz w:val="28"/>
          <w:szCs w:val="28"/>
        </w:rPr>
        <w:t>《教育部学历证书电子注册备案表》</w:t>
      </w:r>
      <w:r>
        <w:rPr>
          <w:rFonts w:hint="eastAsia" w:ascii="仿宋" w:hAnsi="仿宋" w:eastAsia="仿宋" w:cs="仿宋"/>
          <w:sz w:val="28"/>
          <w:szCs w:val="28"/>
          <w:lang w:eastAsia="zh-CN"/>
        </w:rPr>
        <w:t>（</w:t>
      </w:r>
      <w:r>
        <w:rPr>
          <w:rFonts w:hint="eastAsia" w:ascii="仿宋" w:hAnsi="仿宋" w:eastAsia="仿宋" w:cs="仿宋"/>
          <w:sz w:val="28"/>
          <w:szCs w:val="28"/>
        </w:rPr>
        <w:t>认证报告</w:t>
      </w:r>
      <w:r>
        <w:rPr>
          <w:rFonts w:hint="eastAsia" w:ascii="仿宋" w:hAnsi="仿宋" w:eastAsia="仿宋" w:cs="仿宋"/>
          <w:sz w:val="28"/>
          <w:szCs w:val="28"/>
          <w:lang w:eastAsia="zh-CN"/>
        </w:rPr>
        <w:t>）</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.高职高专同等学力考生在国家核心期刊发表的论文（署名前2名）及具有资质的开课单位教务处出具的11门本科主干课程成绩证明；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fldChar w:fldCharType="begin"/>
      </w:r>
      <w:r>
        <w:rPr>
          <w:rFonts w:hint="default" w:ascii="仿宋" w:hAnsi="仿宋" w:eastAsia="仿宋" w:cs="仿宋"/>
          <w:sz w:val="28"/>
          <w:szCs w:val="28"/>
          <w:lang w:val="en-US" w:eastAsia="zh-CN"/>
        </w:rPr>
        <w:instrText xml:space="preserve"> HYPERLINK "mailto:6.大连理工大学硕士研究生思想政治考核表（5月15日前将扫描件或照片发至学院指定邮箱fengyl@dlut.edu.cn）；" </w:instrText>
      </w:r>
      <w:r>
        <w:rPr>
          <w:rFonts w:hint="default" w:ascii="仿宋" w:hAnsi="仿宋" w:eastAsia="仿宋" w:cs="仿宋"/>
          <w:sz w:val="28"/>
          <w:szCs w:val="28"/>
          <w:lang w:val="en-US" w:eastAsia="zh-CN"/>
        </w:rPr>
        <w:fldChar w:fldCharType="separate"/>
      </w:r>
      <w:r>
        <w:rPr>
          <w:rFonts w:hint="default" w:ascii="仿宋" w:hAnsi="仿宋" w:eastAsia="仿宋" w:cs="仿宋"/>
          <w:sz w:val="28"/>
          <w:szCs w:val="28"/>
          <w:lang w:val="en-US" w:eastAsia="zh-CN"/>
        </w:rPr>
        <w:t>6</w:t>
      </w:r>
      <w:r>
        <w:rPr>
          <w:rFonts w:hint="eastAsia" w:ascii="仿宋" w:hAnsi="仿宋" w:eastAsia="仿宋" w:cs="仿宋"/>
          <w:sz w:val="28"/>
          <w:szCs w:val="28"/>
          <w:lang w:val="en-US" w:eastAsia="zh-CN"/>
        </w:rPr>
        <w:t>.</w:t>
      </w:r>
      <w:r>
        <w:rPr>
          <w:rFonts w:hint="eastAsia" w:ascii="仿宋" w:hAnsi="仿宋" w:eastAsia="仿宋" w:cs="仿宋"/>
          <w:sz w:val="28"/>
          <w:szCs w:val="28"/>
        </w:rPr>
        <w:t>《诚信复试承诺书》</w:t>
      </w:r>
      <w:r>
        <w:rPr>
          <w:rFonts w:hint="eastAsia" w:ascii="仿宋" w:hAnsi="仿宋" w:eastAsia="仿宋" w:cs="仿宋"/>
          <w:sz w:val="28"/>
          <w:szCs w:val="28"/>
          <w:lang w:eastAsia="zh-CN"/>
        </w:rPr>
        <w:t>请见附件</w:t>
      </w:r>
      <w:r>
        <w:rPr>
          <w:rFonts w:hint="eastAsia" w:ascii="仿宋" w:hAnsi="仿宋" w:eastAsia="仿宋" w:cs="仿宋"/>
          <w:sz w:val="28"/>
          <w:szCs w:val="28"/>
          <w:lang w:val="en-US" w:eastAsia="zh-CN"/>
        </w:rPr>
        <w:t>2；</w:t>
      </w:r>
      <w:r>
        <w:rPr>
          <w:rFonts w:hint="default" w:ascii="仿宋" w:hAnsi="仿宋" w:eastAsia="仿宋" w:cs="仿宋"/>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7.大连理工大学硕士研究生思想政治考核表请见附件3（5月15日前将扫描件或照片发至fengyl@dlut.edu.cn）；</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以上每个材料以“序号+考生姓名+准考证号+材料名称”形式进行命名。所有材料存至一个压缩包，以“考生姓名+准考证号+复试专业”形式进行命名，并上传系统。</w:t>
      </w:r>
      <w:r>
        <w:rPr>
          <w:rFonts w:hint="eastAsia" w:ascii="仿宋" w:hAnsi="仿宋" w:eastAsia="仿宋" w:cs="仿宋"/>
          <w:sz w:val="28"/>
          <w:szCs w:val="28"/>
        </w:rPr>
        <w:t>复试资格审查不符合规定者，不予复试。</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三</w:t>
      </w:r>
      <w:r>
        <w:rPr>
          <w:rFonts w:hint="eastAsia" w:ascii="仿宋" w:hAnsi="仿宋" w:eastAsia="仿宋" w:cs="仿宋"/>
          <w:b/>
          <w:sz w:val="28"/>
          <w:szCs w:val="28"/>
          <w:lang w:eastAsia="zh-CN"/>
        </w:rPr>
        <w:t>）</w:t>
      </w:r>
      <w:r>
        <w:rPr>
          <w:rFonts w:hint="eastAsia" w:ascii="仿宋" w:hAnsi="仿宋" w:eastAsia="仿宋" w:cs="仿宋"/>
          <w:b/>
          <w:sz w:val="28"/>
          <w:szCs w:val="28"/>
        </w:rPr>
        <w:t>复试内容及分数</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第一阶段：</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1.思想政治素质和品德考核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思想政治素质和品德考核主要考查考生本人的现实表现，内容包括考生的政治态度、思想表现、道德品质、遵纪守法、诚实守信等方面。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采取“函调”的方式对考生的思想政治素质和品德进行考核。</w:t>
      </w:r>
      <w:r>
        <w:rPr>
          <w:rFonts w:hint="eastAsia" w:ascii="仿宋" w:hAnsi="仿宋" w:eastAsia="仿宋" w:cs="仿宋"/>
          <w:sz w:val="28"/>
          <w:szCs w:val="28"/>
          <w:lang w:val="en-US" w:eastAsia="zh-CN"/>
        </w:rPr>
        <w:t>按要求提交</w:t>
      </w:r>
      <w:r>
        <w:rPr>
          <w:rFonts w:hint="eastAsia" w:ascii="仿宋" w:hAnsi="仿宋" w:eastAsia="仿宋" w:cs="仿宋"/>
          <w:sz w:val="28"/>
          <w:szCs w:val="28"/>
        </w:rPr>
        <w:t>《大连理工大学硕士研究生思想政治考核表》扫描件或照片。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2.心理素质测试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考生须通过指定平台在</w:t>
      </w:r>
      <w:r>
        <w:rPr>
          <w:rFonts w:hint="eastAsia" w:ascii="仿宋" w:hAnsi="仿宋" w:eastAsia="仿宋" w:cs="仿宋"/>
          <w:sz w:val="28"/>
          <w:szCs w:val="28"/>
          <w:lang w:val="en-US" w:eastAsia="zh-CN"/>
        </w:rPr>
        <w:t>5月4日15:00前</w:t>
      </w:r>
      <w:r>
        <w:rPr>
          <w:rFonts w:hint="eastAsia" w:ascii="仿宋" w:hAnsi="仿宋" w:eastAsia="仿宋" w:cs="仿宋"/>
          <w:sz w:val="28"/>
          <w:szCs w:val="28"/>
        </w:rPr>
        <w:t>完成心理素质测试，未在规定时间内完成心理素质测试者不予进行其他环节复试。心理素质测试结果不计入复试总成绩，作为录取时的参考。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具体操作流程及要求请见附件4。</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第二阶段</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1.外语能力测试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外语能力测试重点考查考生对外语基本知识的掌握、表达能力。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外语能力测试由复试小组（不少于5人）负责实施。考生使用初试外语语种进行口头测试，复试小组专家根据考生表现给出得分。外语能力测试时间不少于3分钟，满分30分，计入复试总成绩。</w:t>
      </w:r>
      <w:r>
        <w:rPr>
          <w:rFonts w:hint="eastAsia" w:ascii="仿宋" w:hAnsi="仿宋" w:eastAsia="仿宋" w:cs="仿宋"/>
          <w:sz w:val="28"/>
          <w:szCs w:val="28"/>
          <w:lang w:val="en-US" w:eastAsia="zh-CN"/>
        </w:rPr>
        <w:t>考生须在</w:t>
      </w:r>
      <w:r>
        <w:rPr>
          <w:rFonts w:hint="default" w:ascii="仿宋" w:hAnsi="仿宋" w:eastAsia="仿宋" w:cs="仿宋"/>
          <w:sz w:val="28"/>
          <w:szCs w:val="28"/>
          <w:lang w:val="en-US" w:eastAsia="zh-CN"/>
        </w:rPr>
        <w:t>5</w:t>
      </w:r>
      <w:r>
        <w:rPr>
          <w:rFonts w:hint="eastAsia" w:ascii="仿宋" w:hAnsi="仿宋" w:eastAsia="仿宋" w:cs="仿宋"/>
          <w:sz w:val="28"/>
          <w:szCs w:val="28"/>
          <w:lang w:val="en-US" w:eastAsia="zh-CN"/>
        </w:rPr>
        <w:t>月</w:t>
      </w:r>
      <w:r>
        <w:rPr>
          <w:rFonts w:hint="default" w:ascii="仿宋" w:hAnsi="仿宋" w:eastAsia="仿宋" w:cs="仿宋"/>
          <w:sz w:val="28"/>
          <w:szCs w:val="28"/>
          <w:lang w:val="en-US" w:eastAsia="zh-CN"/>
        </w:rPr>
        <w:t>7</w:t>
      </w:r>
      <w:r>
        <w:rPr>
          <w:rFonts w:hint="eastAsia" w:ascii="仿宋" w:hAnsi="仿宋" w:eastAsia="仿宋" w:cs="仿宋"/>
          <w:sz w:val="28"/>
          <w:szCs w:val="28"/>
          <w:lang w:val="en-US" w:eastAsia="zh-CN"/>
        </w:rPr>
        <w:t>日9:00-12:00登录</w:t>
      </w:r>
      <w:r>
        <w:rPr>
          <w:rFonts w:hint="eastAsia" w:ascii="仿宋" w:hAnsi="仿宋" w:eastAsia="仿宋" w:cs="仿宋"/>
          <w:sz w:val="28"/>
          <w:szCs w:val="28"/>
        </w:rPr>
        <w:t>网络远程</w:t>
      </w:r>
      <w:r>
        <w:rPr>
          <w:rFonts w:hint="eastAsia" w:ascii="仿宋" w:hAnsi="仿宋" w:eastAsia="仿宋" w:cs="仿宋"/>
          <w:sz w:val="28"/>
          <w:szCs w:val="28"/>
          <w:lang w:val="en-US" w:eastAsia="zh-CN"/>
        </w:rPr>
        <w:t>面试系统（系统网址：https://www.yjszsms.com/school/10141）进行抽号。按照抽取号码顺序，</w:t>
      </w:r>
      <w:r>
        <w:rPr>
          <w:rFonts w:hint="eastAsia" w:ascii="仿宋" w:hAnsi="仿宋" w:eastAsia="仿宋" w:cs="仿宋"/>
          <w:sz w:val="28"/>
          <w:szCs w:val="28"/>
          <w:highlight w:val="none"/>
          <w:lang w:val="en-US" w:eastAsia="zh-CN"/>
        </w:rPr>
        <w:t>依次进行外语能力测试，考生至少须提前1个小时登录</w:t>
      </w:r>
      <w:r>
        <w:rPr>
          <w:rFonts w:hint="eastAsia" w:ascii="仿宋" w:hAnsi="仿宋" w:eastAsia="仿宋" w:cs="仿宋"/>
          <w:sz w:val="28"/>
          <w:szCs w:val="28"/>
          <w:highlight w:val="none"/>
        </w:rPr>
        <w:t>网络远程</w:t>
      </w:r>
      <w:r>
        <w:rPr>
          <w:rFonts w:hint="eastAsia" w:ascii="仿宋" w:hAnsi="仿宋" w:eastAsia="仿宋" w:cs="仿宋"/>
          <w:sz w:val="28"/>
          <w:szCs w:val="28"/>
          <w:highlight w:val="none"/>
          <w:lang w:val="en-US" w:eastAsia="zh-CN"/>
        </w:rPr>
        <w:t>面试系统进行测试等待。测试进度难以完全预测，在开始测试后，未测试考生</w:t>
      </w:r>
      <w:r>
        <w:rPr>
          <w:rFonts w:hint="eastAsia" w:ascii="仿宋" w:hAnsi="仿宋" w:eastAsia="仿宋" w:cs="仿宋"/>
          <w:sz w:val="28"/>
          <w:szCs w:val="28"/>
          <w:lang w:val="en-US" w:eastAsia="zh-CN"/>
        </w:rPr>
        <w:t>须时刻关注系统，及时掌握测试进度。测试时间见下表。</w:t>
      </w:r>
    </w:p>
    <w:tbl>
      <w:tblPr>
        <w:tblStyle w:val="6"/>
        <w:tblW w:w="8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438"/>
        <w:gridCol w:w="2145"/>
        <w:gridCol w:w="217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63" w:type="dxa"/>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序号</w:t>
            </w:r>
          </w:p>
        </w:tc>
        <w:tc>
          <w:tcPr>
            <w:tcW w:w="1438" w:type="dxa"/>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专业代码</w:t>
            </w:r>
          </w:p>
        </w:tc>
        <w:tc>
          <w:tcPr>
            <w:tcW w:w="2145" w:type="dxa"/>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专业名称</w:t>
            </w:r>
          </w:p>
        </w:tc>
        <w:tc>
          <w:tcPr>
            <w:tcW w:w="2175" w:type="dxa"/>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面试开始时间</w:t>
            </w:r>
          </w:p>
        </w:tc>
        <w:tc>
          <w:tcPr>
            <w:tcW w:w="1980" w:type="dxa"/>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抽号时间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63" w:type="dxa"/>
            <w:vMerge w:val="restart"/>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22"/>
                <w:szCs w:val="22"/>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1</w:t>
            </w:r>
          </w:p>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仿宋" w:hAnsi="仿宋" w:eastAsia="仿宋" w:cs="仿宋"/>
                <w:color w:val="auto"/>
                <w:sz w:val="22"/>
                <w:szCs w:val="22"/>
                <w:vertAlign w:val="baseline"/>
                <w:lang w:val="en-US" w:eastAsia="zh-CN"/>
              </w:rPr>
            </w:pPr>
          </w:p>
        </w:tc>
        <w:tc>
          <w:tcPr>
            <w:tcW w:w="1438" w:type="dxa"/>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080900</w:t>
            </w:r>
          </w:p>
        </w:tc>
        <w:tc>
          <w:tcPr>
            <w:tcW w:w="2145" w:type="dxa"/>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电子科学与技术</w:t>
            </w:r>
          </w:p>
        </w:tc>
        <w:tc>
          <w:tcPr>
            <w:tcW w:w="2175" w:type="dxa"/>
            <w:vMerge w:val="restart"/>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5月</w:t>
            </w:r>
            <w:r>
              <w:rPr>
                <w:rFonts w:hint="default" w:ascii="仿宋" w:hAnsi="仿宋" w:eastAsia="仿宋" w:cs="仿宋"/>
                <w:color w:val="auto"/>
                <w:sz w:val="22"/>
                <w:szCs w:val="22"/>
                <w:vertAlign w:val="baseline"/>
                <w:lang w:val="en-US" w:eastAsia="zh-CN"/>
              </w:rPr>
              <w:t>8</w:t>
            </w:r>
            <w:r>
              <w:rPr>
                <w:rFonts w:hint="eastAsia" w:ascii="仿宋" w:hAnsi="仿宋" w:eastAsia="仿宋" w:cs="仿宋"/>
                <w:color w:val="auto"/>
                <w:sz w:val="22"/>
                <w:szCs w:val="22"/>
                <w:vertAlign w:val="baseline"/>
                <w:lang w:val="en-US" w:eastAsia="zh-CN"/>
              </w:rPr>
              <w:t>日</w:t>
            </w:r>
            <w:r>
              <w:rPr>
                <w:rFonts w:hint="eastAsia" w:ascii="仿宋" w:hAnsi="仿宋" w:eastAsia="仿宋" w:cs="仿宋"/>
                <w:color w:val="auto"/>
                <w:sz w:val="22"/>
                <w:szCs w:val="22"/>
                <w:vertAlign w:val="baseline"/>
                <w:lang w:val="en-US" w:eastAsia="zh-CN"/>
              </w:rPr>
              <w:br w:type="textWrapping"/>
            </w:r>
            <w:r>
              <w:rPr>
                <w:rFonts w:hint="default" w:ascii="仿宋" w:hAnsi="仿宋" w:eastAsia="仿宋" w:cs="仿宋"/>
                <w:color w:val="auto"/>
                <w:sz w:val="22"/>
                <w:szCs w:val="22"/>
                <w:vertAlign w:val="baseline"/>
                <w:lang w:val="en-US" w:eastAsia="zh-CN"/>
              </w:rPr>
              <w:t>8</w:t>
            </w:r>
            <w:r>
              <w:rPr>
                <w:rFonts w:hint="eastAsia" w:ascii="仿宋" w:hAnsi="仿宋" w:eastAsia="仿宋" w:cs="仿宋"/>
                <w:color w:val="auto"/>
                <w:sz w:val="22"/>
                <w:szCs w:val="22"/>
                <w:vertAlign w:val="baseline"/>
                <w:lang w:val="en-US" w:eastAsia="zh-CN"/>
              </w:rPr>
              <w:t>：</w:t>
            </w:r>
            <w:r>
              <w:rPr>
                <w:rFonts w:hint="default" w:ascii="仿宋" w:hAnsi="仿宋" w:eastAsia="仿宋" w:cs="仿宋"/>
                <w:color w:val="auto"/>
                <w:sz w:val="22"/>
                <w:szCs w:val="22"/>
                <w:vertAlign w:val="baseline"/>
                <w:lang w:val="en-US" w:eastAsia="zh-CN"/>
              </w:rPr>
              <w:t>3</w:t>
            </w:r>
            <w:r>
              <w:rPr>
                <w:rFonts w:hint="eastAsia" w:ascii="仿宋" w:hAnsi="仿宋" w:eastAsia="仿宋" w:cs="仿宋"/>
                <w:color w:val="auto"/>
                <w:sz w:val="22"/>
                <w:szCs w:val="22"/>
                <w:vertAlign w:val="baseline"/>
                <w:lang w:val="en-US" w:eastAsia="zh-CN"/>
              </w:rPr>
              <w:t>0</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kern w:val="2"/>
                <w:sz w:val="22"/>
                <w:szCs w:val="22"/>
                <w:vertAlign w:val="baseline"/>
                <w:lang w:val="en-US" w:eastAsia="zh-CN" w:bidi="ar-SA"/>
              </w:rPr>
            </w:pPr>
          </w:p>
        </w:tc>
        <w:tc>
          <w:tcPr>
            <w:tcW w:w="1980" w:type="dxa"/>
            <w:vMerge w:val="restart"/>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5月</w:t>
            </w:r>
            <w:r>
              <w:rPr>
                <w:rFonts w:hint="default" w:ascii="仿宋" w:hAnsi="仿宋" w:eastAsia="仿宋" w:cs="仿宋"/>
                <w:color w:val="auto"/>
                <w:sz w:val="22"/>
                <w:szCs w:val="22"/>
                <w:vertAlign w:val="baseline"/>
                <w:lang w:val="en-US" w:eastAsia="zh-CN"/>
              </w:rPr>
              <w:t>7</w:t>
            </w:r>
            <w:r>
              <w:rPr>
                <w:rFonts w:hint="eastAsia" w:ascii="仿宋" w:hAnsi="仿宋" w:eastAsia="仿宋" w:cs="仿宋"/>
                <w:color w:val="auto"/>
                <w:sz w:val="22"/>
                <w:szCs w:val="22"/>
                <w:vertAlign w:val="baseline"/>
                <w:lang w:val="en-US" w:eastAsia="zh-CN"/>
              </w:rPr>
              <w:t>日</w:t>
            </w:r>
            <w:r>
              <w:rPr>
                <w:rFonts w:hint="eastAsia" w:ascii="仿宋" w:hAnsi="仿宋" w:eastAsia="仿宋" w:cs="仿宋"/>
                <w:color w:val="auto"/>
                <w:sz w:val="22"/>
                <w:szCs w:val="22"/>
                <w:vertAlign w:val="baseline"/>
                <w:lang w:val="en-US" w:eastAsia="zh-CN"/>
              </w:rPr>
              <w:br w:type="textWrapping"/>
            </w:r>
            <w:r>
              <w:rPr>
                <w:rFonts w:hint="eastAsia" w:ascii="仿宋" w:hAnsi="仿宋" w:eastAsia="仿宋" w:cs="仿宋"/>
                <w:color w:val="auto"/>
                <w:sz w:val="22"/>
                <w:szCs w:val="22"/>
                <w:vertAlign w:val="baseline"/>
                <w:lang w:val="en-US" w:eastAsia="zh-CN"/>
              </w:rPr>
              <w:t>9:00-12:00</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kern w:val="2"/>
                <w:sz w:val="22"/>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63" w:type="dxa"/>
            <w:vMerge w:val="continue"/>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仿宋" w:hAnsi="仿宋" w:eastAsia="仿宋" w:cs="仿宋"/>
                <w:color w:val="FF0000"/>
                <w:sz w:val="22"/>
                <w:szCs w:val="22"/>
                <w:vertAlign w:val="baseline"/>
                <w:lang w:val="en-US" w:eastAsia="zh-CN"/>
              </w:rPr>
            </w:pPr>
          </w:p>
        </w:tc>
        <w:tc>
          <w:tcPr>
            <w:tcW w:w="1438" w:type="dxa"/>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085400</w:t>
            </w:r>
          </w:p>
        </w:tc>
        <w:tc>
          <w:tcPr>
            <w:tcW w:w="2145" w:type="dxa"/>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电子信息</w:t>
            </w:r>
          </w:p>
        </w:tc>
        <w:tc>
          <w:tcPr>
            <w:tcW w:w="2175"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FF0000"/>
                <w:kern w:val="2"/>
                <w:sz w:val="22"/>
                <w:szCs w:val="22"/>
                <w:vertAlign w:val="baseline"/>
                <w:lang w:val="en-US" w:eastAsia="zh-CN" w:bidi="ar-SA"/>
              </w:rPr>
            </w:pPr>
          </w:p>
        </w:tc>
        <w:tc>
          <w:tcPr>
            <w:tcW w:w="1980"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FF0000"/>
                <w:kern w:val="2"/>
                <w:sz w:val="22"/>
                <w:szCs w:val="22"/>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第三阶段：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1.综合素质和能力考核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综合素质和能力考核重点考查考生大学阶段学习情况及成绩，在本学科领域发展潜力、创新精神、科研能力，思想政治素质和道德品质，本学科（专业）以外的学习、科研、社会实践（学生工作、社团活动、志愿服务等）或实际工作表现等方面的情况，事业心、责任感、纪律性（遵纪守法）、协作性和心理健康情况；人文素养、举止、表达和礼仪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考生进行个人汇报（4分钟以内），口头汇报。主要汇报本科阶段课程学习，毕业论文，科研情况，本学科（专业）以外的学习、科研、社会实践（学生工作、社团活动、志愿服务等）或实际工作表现等，应以课程学习和科研情况为汇报重点。复试专家根据考生汇报情况进行提问（考生汇报过程中，专家可以打断提问），考生进行口头作答，复试专家根据考生既往和表现情况给出得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综合素质和能力考核时间共计不少于6分钟，满分100分，计入复试总成绩。</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2.专业素质和能力考核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专业素质和能力考核重点考查考生对本学科（专业）理论知识和应用技能掌握程度，利用所学理论发现、分析和解决问题的能力，对本学科发展动态的了解以及在本专业领域发展的潜力，创新精神和创新能力。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专业素质和能力考核分为抽题作答和提问作答两部分。抽题作答环节尽可能采用综合性、开放性的能力型试题，由考生抽选题目</w:t>
      </w:r>
      <w:r>
        <w:rPr>
          <w:rFonts w:hint="eastAsia" w:ascii="仿宋" w:hAnsi="仿宋" w:eastAsia="仿宋" w:cs="仿宋"/>
          <w:sz w:val="28"/>
          <w:szCs w:val="28"/>
          <w:highlight w:val="none"/>
          <w:lang w:val="en-US" w:eastAsia="zh-CN"/>
        </w:rPr>
        <w:t>（每份题纸将有4道题，考生从中任选2题进行作答），进行口头作答。</w:t>
      </w:r>
      <w:r>
        <w:rPr>
          <w:rFonts w:hint="eastAsia" w:ascii="仿宋" w:hAnsi="仿宋" w:eastAsia="仿宋" w:cs="仿宋"/>
          <w:sz w:val="28"/>
          <w:szCs w:val="28"/>
          <w:lang w:val="en-US" w:eastAsia="zh-CN"/>
        </w:rPr>
        <w:t>提问作答环节由复试专家提出问题，考生进行口头作答。复试专家根据考生表现给出得分。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专业素质和能力考核时间累计不少于11分钟，满分200分，计入复试总成绩。</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3.面试日程安排</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面试（综合素质和能力考核、专业素质和能力考核）时间见下表。</w:t>
      </w:r>
    </w:p>
    <w:tbl>
      <w:tblPr>
        <w:tblStyle w:val="6"/>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213"/>
        <w:gridCol w:w="2235"/>
        <w:gridCol w:w="1905"/>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序号</w:t>
            </w:r>
          </w:p>
        </w:tc>
        <w:tc>
          <w:tcPr>
            <w:tcW w:w="1213" w:type="dxa"/>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专业代码</w:t>
            </w:r>
          </w:p>
        </w:tc>
        <w:tc>
          <w:tcPr>
            <w:tcW w:w="2235" w:type="dxa"/>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专业名称</w:t>
            </w:r>
          </w:p>
        </w:tc>
        <w:tc>
          <w:tcPr>
            <w:tcW w:w="1905" w:type="dxa"/>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面试开始时间</w:t>
            </w:r>
          </w:p>
        </w:tc>
        <w:tc>
          <w:tcPr>
            <w:tcW w:w="2370" w:type="dxa"/>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抽号时间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1</w:t>
            </w:r>
          </w:p>
        </w:tc>
        <w:tc>
          <w:tcPr>
            <w:tcW w:w="1213"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080900</w:t>
            </w:r>
          </w:p>
        </w:tc>
        <w:tc>
          <w:tcPr>
            <w:tcW w:w="223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电子科学与技术</w:t>
            </w:r>
          </w:p>
        </w:tc>
        <w:tc>
          <w:tcPr>
            <w:tcW w:w="1905" w:type="dxa"/>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5月14日</w:t>
            </w:r>
            <w:r>
              <w:rPr>
                <w:rFonts w:hint="eastAsia" w:ascii="仿宋" w:hAnsi="仿宋" w:eastAsia="仿宋" w:cs="仿宋"/>
                <w:color w:val="auto"/>
                <w:sz w:val="22"/>
                <w:szCs w:val="22"/>
                <w:highlight w:val="none"/>
                <w:vertAlign w:val="baseline"/>
                <w:lang w:val="en-US" w:eastAsia="zh-CN"/>
              </w:rPr>
              <w:br w:type="textWrapping"/>
            </w:r>
            <w:r>
              <w:rPr>
                <w:rFonts w:hint="eastAsia" w:ascii="仿宋" w:hAnsi="仿宋" w:eastAsia="仿宋" w:cs="仿宋"/>
                <w:color w:val="auto"/>
                <w:sz w:val="22"/>
                <w:szCs w:val="22"/>
                <w:highlight w:val="none"/>
                <w:vertAlign w:val="baseline"/>
                <w:lang w:val="en-US" w:eastAsia="zh-CN"/>
              </w:rPr>
              <w:t>8:30</w:t>
            </w:r>
          </w:p>
        </w:tc>
        <w:tc>
          <w:tcPr>
            <w:tcW w:w="2370" w:type="dxa"/>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5月13日</w:t>
            </w:r>
            <w:r>
              <w:rPr>
                <w:rFonts w:hint="eastAsia" w:ascii="仿宋" w:hAnsi="仿宋" w:eastAsia="仿宋" w:cs="仿宋"/>
                <w:color w:val="auto"/>
                <w:sz w:val="22"/>
                <w:szCs w:val="22"/>
                <w:highlight w:val="none"/>
                <w:vertAlign w:val="baseline"/>
                <w:lang w:val="en-US" w:eastAsia="zh-CN"/>
              </w:rPr>
              <w:br w:type="textWrapping"/>
            </w:r>
            <w:r>
              <w:rPr>
                <w:rFonts w:hint="eastAsia" w:ascii="仿宋" w:hAnsi="仿宋" w:eastAsia="仿宋" w:cs="仿宋"/>
                <w:color w:val="auto"/>
                <w:sz w:val="22"/>
                <w:szCs w:val="22"/>
                <w:highlight w:val="none"/>
                <w:vertAlign w:val="baseline"/>
                <w:lang w:val="en-US" w:eastAsia="zh-CN"/>
              </w:rPr>
              <w:t>9:00-12:00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2</w:t>
            </w:r>
          </w:p>
        </w:tc>
        <w:tc>
          <w:tcPr>
            <w:tcW w:w="1213" w:type="dxa"/>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085400</w:t>
            </w:r>
          </w:p>
        </w:tc>
        <w:tc>
          <w:tcPr>
            <w:tcW w:w="2235" w:type="dxa"/>
            <w:vAlign w:val="top"/>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电子信息</w:t>
            </w:r>
          </w:p>
        </w:tc>
        <w:tc>
          <w:tcPr>
            <w:tcW w:w="190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5月15日</w:t>
            </w:r>
            <w:r>
              <w:rPr>
                <w:rFonts w:hint="eastAsia" w:ascii="仿宋" w:hAnsi="仿宋" w:eastAsia="仿宋" w:cs="仿宋"/>
                <w:color w:val="auto"/>
                <w:sz w:val="22"/>
                <w:szCs w:val="22"/>
                <w:highlight w:val="none"/>
                <w:vertAlign w:val="baseline"/>
                <w:lang w:val="en-US" w:eastAsia="zh-CN"/>
              </w:rPr>
              <w:br w:type="textWrapping"/>
            </w:r>
            <w:r>
              <w:rPr>
                <w:rFonts w:hint="eastAsia" w:ascii="仿宋" w:hAnsi="仿宋" w:eastAsia="仿宋" w:cs="仿宋"/>
                <w:color w:val="auto"/>
                <w:sz w:val="22"/>
                <w:szCs w:val="22"/>
                <w:highlight w:val="none"/>
                <w:vertAlign w:val="baseline"/>
                <w:lang w:val="en-US" w:eastAsia="zh-CN"/>
              </w:rPr>
              <w:t>8:30</w:t>
            </w:r>
          </w:p>
        </w:tc>
        <w:tc>
          <w:tcPr>
            <w:tcW w:w="2370"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 w:hAnsi="仿宋" w:eastAsia="仿宋" w:cs="仿宋"/>
                <w:color w:val="auto"/>
                <w:sz w:val="22"/>
                <w:szCs w:val="22"/>
                <w:highlight w:val="none"/>
                <w:vertAlign w:val="baseline"/>
                <w:lang w:val="en-US" w:eastAsia="zh-CN"/>
              </w:rPr>
            </w:pPr>
            <w:r>
              <w:rPr>
                <w:rFonts w:hint="eastAsia" w:ascii="仿宋" w:hAnsi="仿宋" w:eastAsia="仿宋" w:cs="仿宋"/>
                <w:color w:val="auto"/>
                <w:sz w:val="22"/>
                <w:szCs w:val="22"/>
                <w:highlight w:val="none"/>
                <w:vertAlign w:val="baseline"/>
                <w:lang w:val="en-US" w:eastAsia="zh-CN"/>
              </w:rPr>
              <w:t>5月14日</w:t>
            </w:r>
            <w:r>
              <w:rPr>
                <w:rFonts w:hint="eastAsia" w:ascii="仿宋" w:hAnsi="仿宋" w:eastAsia="仿宋" w:cs="仿宋"/>
                <w:color w:val="auto"/>
                <w:sz w:val="22"/>
                <w:szCs w:val="22"/>
                <w:highlight w:val="none"/>
                <w:vertAlign w:val="baseline"/>
                <w:lang w:val="en-US" w:eastAsia="zh-CN"/>
              </w:rPr>
              <w:br w:type="textWrapping"/>
            </w:r>
            <w:r>
              <w:rPr>
                <w:rFonts w:hint="eastAsia" w:ascii="仿宋" w:hAnsi="仿宋" w:eastAsia="仿宋" w:cs="仿宋"/>
                <w:color w:val="auto"/>
                <w:sz w:val="22"/>
                <w:szCs w:val="22"/>
                <w:highlight w:val="none"/>
                <w:vertAlign w:val="baseline"/>
                <w:lang w:val="en-US" w:eastAsia="zh-CN"/>
              </w:rPr>
              <w:t>9:00-12:00</w:t>
            </w:r>
          </w:p>
        </w:tc>
      </w:tr>
    </w:tbl>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sz w:val="28"/>
          <w:szCs w:val="28"/>
          <w:lang w:val="en-US" w:eastAsia="zh-CN"/>
        </w:rPr>
        <w:t>考生须在面试前一天的9:00-12:00，登录网络远程面试系统（系统网址：https://www.yjszsms.com/school/10141）进行抽号。按照抽取号码顺序，按照复试专业规定时间依次进行面试，考生至少须提前1个小时登录网络远程面试系统进行测试等待。面试进度难以完全预测，在专业面试开始后，未面试考生须时刻关注系统，及时掌握测试进度。</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（四）复试成绩要求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复试总成绩的计算公式为：总成绩=外语能力测试成绩+</w:t>
      </w:r>
      <w:r>
        <w:rPr>
          <w:rFonts w:hint="eastAsia" w:ascii="仿宋" w:hAnsi="仿宋" w:eastAsia="仿宋" w:cs="仿宋"/>
          <w:bCs/>
          <w:sz w:val="28"/>
          <w:szCs w:val="28"/>
        </w:rPr>
        <w:t>综合素质和能力考核</w:t>
      </w:r>
      <w:r>
        <w:rPr>
          <w:rFonts w:hint="eastAsia" w:ascii="仿宋" w:hAnsi="仿宋" w:eastAsia="仿宋" w:cs="仿宋"/>
          <w:sz w:val="28"/>
          <w:szCs w:val="28"/>
        </w:rPr>
        <w:t>成绩+专业</w:t>
      </w:r>
      <w:r>
        <w:rPr>
          <w:rFonts w:hint="eastAsia" w:ascii="仿宋" w:hAnsi="仿宋" w:eastAsia="仿宋" w:cs="仿宋"/>
          <w:bCs/>
          <w:sz w:val="28"/>
          <w:szCs w:val="28"/>
        </w:rPr>
        <w:t>素质和能力考核</w:t>
      </w:r>
      <w:r>
        <w:rPr>
          <w:rFonts w:hint="eastAsia" w:ascii="仿宋" w:hAnsi="仿宋" w:eastAsia="仿宋" w:cs="仿宋"/>
          <w:sz w:val="28"/>
          <w:szCs w:val="28"/>
        </w:rPr>
        <w:t>成绩。复试总成绩满分为330分。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凡复试总成绩低于200分、或综合素质和能力考核成绩低于60分、或专业素质和能力考核成绩低于120分、或外语能力测试缺考、或同等学力考生的加试科目任何一门成绩低于60分的考生，即为不合格，不予录取。</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五</w:t>
      </w:r>
      <w:r>
        <w:rPr>
          <w:rFonts w:hint="eastAsia" w:ascii="仿宋" w:hAnsi="仿宋" w:eastAsia="仿宋" w:cs="仿宋"/>
          <w:b/>
          <w:sz w:val="28"/>
          <w:szCs w:val="28"/>
          <w:lang w:eastAsia="zh-CN"/>
        </w:rPr>
        <w:t>）</w:t>
      </w:r>
      <w:r>
        <w:rPr>
          <w:rFonts w:hint="eastAsia" w:ascii="仿宋" w:hAnsi="仿宋" w:eastAsia="仿宋" w:cs="仿宋"/>
          <w:b/>
          <w:sz w:val="28"/>
          <w:szCs w:val="28"/>
        </w:rPr>
        <w:t>特殊加分政策：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高校学生应征入伍服义务兵役退役，达到报考条件后，3年内参加全国硕士研究生招生考试的考生，初试总分加10分，同等条件下优先录取。纳入“退役大学生士兵”专项计划招录的，不再享受退役大学生士兵初试加分政策。在部队荣立二等功以上，符合全国硕士研究生招生考试报考条件的，可申请免试（初试）攻读硕士研究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3.参加“选聘高校毕业生到村任职”项目服务期满、考核称职以上的考生，3年内参加全国硕士研究生招生考试的，初试总分加10分，同等条件下优先录取，其中报考人文社科类专业研究生的，初试总分加15分。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初试加分项目不累计，同时满足两项以上初试加分条件的考生按最高项加分。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"mailto:符合特殊加分政策的考生须在5月X日前通过邮件（XXXXX@dlut.edu.cn）报备，由学部进行审核，审核通过后在学部网站进行公布。未在规定时间内按要求报备者，视为放弃特殊加分申请资格。"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符合特殊加分政策的考生须在</w:t>
      </w:r>
      <w:r>
        <w:rPr>
          <w:rFonts w:hint="eastAsia" w:ascii="仿宋" w:hAnsi="仿宋" w:eastAsia="仿宋" w:cs="仿宋"/>
          <w:sz w:val="28"/>
          <w:szCs w:val="28"/>
          <w:highlight w:val="none"/>
          <w:lang w:val="en-US" w:eastAsia="zh-CN"/>
        </w:rPr>
        <w:t>5月4日前通过邮件（fengyl@dlut.edu.cn）</w:t>
      </w:r>
      <w:r>
        <w:rPr>
          <w:rFonts w:hint="eastAsia" w:ascii="仿宋" w:hAnsi="仿宋" w:eastAsia="仿宋" w:cs="仿宋"/>
          <w:sz w:val="28"/>
          <w:szCs w:val="28"/>
          <w:highlight w:val="none"/>
        </w:rPr>
        <w:t>报备</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由学院进行审核</w:t>
      </w:r>
      <w:r>
        <w:rPr>
          <w:rFonts w:hint="eastAsia" w:ascii="仿宋" w:hAnsi="仿宋" w:eastAsia="仿宋" w:cs="仿宋"/>
          <w:sz w:val="28"/>
          <w:szCs w:val="28"/>
          <w:lang w:val="en-US" w:eastAsia="zh-CN"/>
        </w:rPr>
        <w:t>，审核通过后在学院网站进行公布。未在规定时间内按要求报备者，视为放弃特殊加分申请资格。</w:t>
      </w:r>
      <w:r>
        <w:rPr>
          <w:rFonts w:hint="eastAsia" w:ascii="仿宋" w:hAnsi="仿宋" w:eastAsia="仿宋" w:cs="仿宋"/>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pacing w:val="-10"/>
          <w:sz w:val="28"/>
          <w:szCs w:val="28"/>
        </w:rPr>
      </w:pPr>
      <w:r>
        <w:rPr>
          <w:rFonts w:hint="eastAsia" w:ascii="仿宋" w:hAnsi="仿宋" w:eastAsia="仿宋" w:cs="仿宋"/>
          <w:b/>
          <w:bCs/>
          <w:sz w:val="28"/>
          <w:szCs w:val="28"/>
          <w:lang w:val="en-US" w:eastAsia="zh-CN"/>
        </w:rPr>
        <w:t>（六）</w:t>
      </w:r>
      <w:r>
        <w:rPr>
          <w:rFonts w:hint="eastAsia" w:ascii="仿宋" w:hAnsi="仿宋" w:eastAsia="仿宋" w:cs="仿宋"/>
          <w:b/>
          <w:bCs/>
          <w:spacing w:val="-10"/>
          <w:sz w:val="28"/>
          <w:szCs w:val="28"/>
        </w:rPr>
        <w:t>复试组织管理要求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1.复试全程记录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由网络远程复试系统对复试全程录音录像（包括复试小组专家、考生现场情况），保存时间为一年。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2.建立双查验、三随机、四对照工作机制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双查验：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复试过程中严把入口关，积极运用“人脸识别”、“人证识别”技术，通过双查验加强对考生身份的审查核验。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三随机：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复试过程中加强规范化管理，通过落实“随机确定考生复试次序”、“随机确定导师组组成人员”、“随机抽取复试试题”的三随机工作机制，确保复试录取工作的公平公正。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四对照：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网络远程复试过程中，通过综合比对考生与“报考库”、“学籍学历库”、“人口信息库”、“考生考试诚信档案库”中信息，严防复试“替考”。</w:t>
      </w:r>
    </w:p>
    <w:p>
      <w:pPr>
        <w:keepNext w:val="0"/>
        <w:keepLines w:val="0"/>
        <w:pageBreakBefore w:val="0"/>
        <w:widowControl w:val="0"/>
        <w:kinsoku/>
        <w:wordWrap/>
        <w:overflowPunct/>
        <w:topLinePunct w:val="0"/>
        <w:autoSpaceDE/>
        <w:autoSpaceDN/>
        <w:bidi w:val="0"/>
        <w:adjustRightInd/>
        <w:snapToGrid/>
        <w:spacing w:line="240" w:lineRule="auto"/>
        <w:ind w:firstLine="522" w:firstLineChars="200"/>
        <w:textAlignment w:val="auto"/>
        <w:rPr>
          <w:rFonts w:hint="eastAsia" w:ascii="仿宋" w:hAnsi="仿宋" w:eastAsia="仿宋" w:cs="仿宋"/>
          <w:b/>
          <w:spacing w:val="-10"/>
          <w:sz w:val="28"/>
          <w:szCs w:val="28"/>
          <w:lang w:val="en-US" w:eastAsia="zh-CN"/>
        </w:rPr>
      </w:pPr>
      <w:r>
        <w:rPr>
          <w:rFonts w:hint="eastAsia" w:ascii="仿宋" w:hAnsi="仿宋" w:eastAsia="仿宋" w:cs="仿宋"/>
          <w:b/>
          <w:spacing w:val="-10"/>
          <w:sz w:val="28"/>
          <w:szCs w:val="28"/>
          <w:lang w:val="en-US" w:eastAsia="zh-CN"/>
        </w:rPr>
        <w:t>（七）网络远程复试要求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sz w:val="28"/>
          <w:szCs w:val="28"/>
        </w:rPr>
      </w:pPr>
      <w:r>
        <w:rPr>
          <w:rFonts w:hint="eastAsia" w:ascii="仿宋" w:hAnsi="仿宋" w:eastAsia="仿宋" w:cs="仿宋"/>
          <w:sz w:val="28"/>
          <w:szCs w:val="28"/>
        </w:rPr>
        <w:t>外语能力测试、</w:t>
      </w:r>
      <w:r>
        <w:rPr>
          <w:rFonts w:hint="eastAsia" w:ascii="仿宋" w:hAnsi="仿宋" w:eastAsia="仿宋" w:cs="仿宋"/>
          <w:bCs/>
          <w:sz w:val="28"/>
          <w:szCs w:val="28"/>
        </w:rPr>
        <w:t>综合素质和能力考核</w:t>
      </w:r>
      <w:r>
        <w:rPr>
          <w:rFonts w:hint="eastAsia" w:ascii="仿宋" w:hAnsi="仿宋" w:eastAsia="仿宋" w:cs="仿宋"/>
          <w:sz w:val="28"/>
          <w:szCs w:val="28"/>
        </w:rPr>
        <w:t>、专业</w:t>
      </w:r>
      <w:r>
        <w:rPr>
          <w:rFonts w:hint="eastAsia" w:ascii="仿宋" w:hAnsi="仿宋" w:eastAsia="仿宋" w:cs="仿宋"/>
          <w:bCs/>
          <w:sz w:val="28"/>
          <w:szCs w:val="28"/>
        </w:rPr>
        <w:t>素质和能力考核</w:t>
      </w:r>
      <w:r>
        <w:rPr>
          <w:rFonts w:hint="eastAsia" w:ascii="仿宋" w:hAnsi="仿宋" w:eastAsia="仿宋" w:cs="仿宋"/>
          <w:sz w:val="28"/>
          <w:szCs w:val="28"/>
        </w:rPr>
        <w:t>采用网络远程复试系统进行面试。复试是研究生招生考试重要组成部分，属于国家级考试，按照研究生招生考试相关保密管理规定，任何人员和机构（学校授权除外）不得对复试过程录音录像、拍照、截屏或者网络直播，不得传播试题等复试内容，否则将依据相关规定追究相关人员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复试系统：采用主副两套系统同时进行面试。主系统为大连理工大学网络远程复试平台，考虑到手机屏幕小、来电阻断等问题，原则要求使用电脑登录，摆放于考生正面；副系统为</w:t>
      </w:r>
      <w:r>
        <w:rPr>
          <w:rFonts w:hint="eastAsia" w:ascii="仿宋" w:hAnsi="仿宋" w:eastAsia="仿宋" w:cs="仿宋"/>
          <w:sz w:val="28"/>
          <w:szCs w:val="28"/>
          <w:highlight w:val="none"/>
        </w:rPr>
        <w:t>会议软</w:t>
      </w:r>
      <w:r>
        <w:rPr>
          <w:rFonts w:hint="eastAsia" w:ascii="仿宋" w:hAnsi="仿宋" w:eastAsia="仿宋" w:cs="仿宋"/>
          <w:sz w:val="28"/>
          <w:szCs w:val="28"/>
        </w:rPr>
        <w:t>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钉钉</w:t>
      </w:r>
      <w:r>
        <w:rPr>
          <w:rFonts w:hint="eastAsia" w:ascii="仿宋" w:hAnsi="仿宋" w:eastAsia="仿宋" w:cs="仿宋"/>
          <w:sz w:val="28"/>
          <w:szCs w:val="28"/>
          <w:lang w:eastAsia="zh-CN"/>
        </w:rPr>
        <w:t>）</w:t>
      </w:r>
      <w:r>
        <w:rPr>
          <w:rFonts w:hint="eastAsia" w:ascii="仿宋" w:hAnsi="仿宋" w:eastAsia="仿宋" w:cs="仿宋"/>
          <w:sz w:val="28"/>
          <w:szCs w:val="28"/>
        </w:rPr>
        <w:t>，主要用于云监考及备用，可使用电脑或手机登录。</w:t>
      </w:r>
      <w:r>
        <w:rPr>
          <w:rFonts w:hint="eastAsia" w:ascii="仿宋" w:hAnsi="仿宋" w:eastAsia="仿宋" w:cs="仿宋"/>
          <w:sz w:val="28"/>
          <w:szCs w:val="28"/>
          <w:lang w:val="en-US" w:eastAsia="zh-CN"/>
        </w:rPr>
        <w:t>复试开始前复试组负责老师将通过</w:t>
      </w:r>
      <w:r>
        <w:rPr>
          <w:rFonts w:hint="eastAsia" w:ascii="仿宋" w:hAnsi="仿宋" w:eastAsia="仿宋" w:cs="仿宋"/>
          <w:sz w:val="28"/>
          <w:szCs w:val="28"/>
        </w:rPr>
        <w:t>副系统</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钉钉</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检查考生面试设备及环境。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设备配置基础要求：电脑1台和手机1部。建议考生使用笔记本电脑进行面试，如果电脑本身配置的摄像头、话筒效果较好，可直接使用。如果是普通PC电脑，需要另外配备摄像头，麦克风、音箱，可正常进行QQ、微信视频通话功能。电脑操作系统建议为WINDOWS 8及以上版本（苹果操作系统亦支持）。需要提前下载安装chrome浏览器最新版本。下载地址：https://www.google.cn/intl/zh-CN/chrome/。笔记本电脑请提前充好电，或直接插上电源使用。检查网络是否畅通，建议考生电脑通过连接有线网络参与面试，尽量不要使用很多人共享的无线网络，以防面试过程中断网。提前将无关电脑程序全部关闭，特别是微信、QQ等易弹出窗口的软件。手机为智能机、具有高质量视频通话功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复试环境要求：考生需要在封闭安静的房间独立进行远程面试，周围环境不得对复试产生干扰。需保证房间内网络信号质量满足视频通话需求。复试过程中，复试房间内除本考生不能有其他任何人员。复试时检查面试环境光线，不能过于昏暗，也不要逆光，可提前通过摄像头，检查环境亮度是否合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设备摆放要求：登录大连理工大学网络远程复试平台的电脑作为远程面试主设备，需要正向面对考生，复试全程开启，摄像头正对考生。复试过程中，要求视频中考生界面底端始终不得高于腹部，双手须全程在视频录像范围。登录视频会议系统的电脑或手机作为远程面试云监考及备用设备，摄像头需摆放在考生侧后方（与考生后背面成45°角），能够全程拍摄考生本人和电脑屏幕，复试全程开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个人仪表要求：复试过程中，大连理工大学网络远程复试平台将采集考生图像信息，并进行身份识别审核。要求考生复试时不能过度修饰仪容，不得佩戴墨镜、帽子、头饰、口罩等，头发不得遮挡面部，必须保证视频中面部图像清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复试过程中，连接登录复试系统的设备不允许再运行其他网页或软件，设备须处于免打扰状态，保证复试过程不受其他因素干扰或打断，不得与外界有任何音视频交互，复试房间其他电子设备必须关闭。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考生应在学校规定的时间参加网络面试设备及平台测试，确保设备功能、复试环境等满足学校要求。</w:t>
      </w:r>
    </w:p>
    <w:p>
      <w:pPr>
        <w:keepNext w:val="0"/>
        <w:keepLines w:val="0"/>
        <w:pageBreakBefore w:val="0"/>
        <w:widowControl w:val="0"/>
        <w:kinsoku/>
        <w:wordWrap/>
        <w:overflowPunct/>
        <w:topLinePunct w:val="0"/>
        <w:autoSpaceDE/>
        <w:autoSpaceDN/>
        <w:bidi w:val="0"/>
        <w:adjustRightInd/>
        <w:snapToGrid/>
        <w:spacing w:line="240" w:lineRule="auto"/>
        <w:ind w:firstLine="520" w:firstLineChars="200"/>
        <w:textAlignment w:val="auto"/>
        <w:rPr>
          <w:rFonts w:hint="eastAsia" w:ascii="仿宋" w:hAnsi="仿宋" w:eastAsia="仿宋" w:cs="仿宋"/>
          <w:b/>
          <w:spacing w:val="-10"/>
          <w:sz w:val="28"/>
          <w:szCs w:val="28"/>
          <w:lang w:val="en-US" w:eastAsia="zh-CN"/>
        </w:rPr>
      </w:pPr>
      <w:r>
        <w:rPr>
          <w:rFonts w:hint="eastAsia" w:ascii="仿宋" w:hAnsi="仿宋" w:eastAsia="仿宋" w:cs="仿宋"/>
          <w:b w:val="0"/>
          <w:bCs/>
          <w:spacing w:val="-10"/>
          <w:sz w:val="28"/>
          <w:szCs w:val="28"/>
          <w:lang w:val="en-US" w:eastAsia="zh-CN"/>
        </w:rPr>
        <w:t>复试系统操作指南请见附件5。</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黑体" w:hAnsi="黑体" w:eastAsia="黑体" w:cs="黑体"/>
          <w:b/>
          <w:sz w:val="28"/>
          <w:szCs w:val="28"/>
        </w:rPr>
      </w:pPr>
      <w:r>
        <w:rPr>
          <w:rFonts w:hint="eastAsia" w:ascii="黑体" w:hAnsi="黑体" w:eastAsia="黑体" w:cs="黑体"/>
          <w:b/>
          <w:sz w:val="28"/>
          <w:szCs w:val="28"/>
        </w:rPr>
        <w:t>四、调剂</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2020年学院调剂考核均采取网络远程面试的形式，具体要求参照复试执行。调剂考生须符合学校规定的调剂基本条件，</w:t>
      </w:r>
      <w:r>
        <w:rPr>
          <w:rFonts w:hint="eastAsia" w:ascii="仿宋" w:hAnsi="仿宋" w:eastAsia="仿宋" w:cs="仿宋"/>
          <w:sz w:val="28"/>
          <w:szCs w:val="28"/>
        </w:rPr>
        <w:t>全日制硕士研究生原则上不进行校外调剂</w:t>
      </w:r>
      <w:r>
        <w:rPr>
          <w:rFonts w:hint="eastAsia" w:ascii="仿宋" w:hAnsi="仿宋" w:eastAsia="仿宋" w:cs="仿宋"/>
          <w:b w:val="0"/>
          <w:bCs/>
          <w:sz w:val="28"/>
          <w:szCs w:val="28"/>
          <w:lang w:val="en-US" w:eastAsia="zh-CN"/>
        </w:rPr>
        <w:t>。</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lang w:eastAsia="zh-CN"/>
        </w:rPr>
        <w:t>）</w:t>
      </w:r>
      <w:r>
        <w:rPr>
          <w:rFonts w:hint="eastAsia" w:ascii="仿宋" w:hAnsi="仿宋" w:eastAsia="仿宋" w:cs="仿宋"/>
          <w:b/>
          <w:bCs/>
          <w:sz w:val="28"/>
          <w:szCs w:val="28"/>
        </w:rPr>
        <w:t>初试科目要求</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1.考生外国语考试语种须与报名调剂专业招生简章公布的外国语考试语种相符。</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b w:val="0"/>
          <w:bCs/>
          <w:sz w:val="28"/>
          <w:szCs w:val="28"/>
          <w:lang w:val="en-US" w:eastAsia="zh-CN"/>
        </w:rPr>
        <w:t>2.</w:t>
      </w:r>
      <w:r>
        <w:rPr>
          <w:rFonts w:hint="eastAsia" w:ascii="仿宋" w:hAnsi="仿宋" w:eastAsia="仿宋" w:cs="仿宋"/>
          <w:sz w:val="28"/>
          <w:szCs w:val="28"/>
        </w:rPr>
        <w:t>业务课一未考统考数学的考生不得报名调剂业务课一考统考数学的专业（我校自命题科目601数学物理方法、602数学分析等同统考数学）</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lang w:eastAsia="zh-CN"/>
        </w:rPr>
        <w:t>）</w:t>
      </w:r>
      <w:r>
        <w:rPr>
          <w:rFonts w:hint="eastAsia" w:ascii="仿宋" w:hAnsi="仿宋" w:eastAsia="仿宋" w:cs="仿宋"/>
          <w:b/>
          <w:bCs/>
          <w:sz w:val="28"/>
          <w:szCs w:val="28"/>
        </w:rPr>
        <w:t>报名要求与进入调剂复试规则</w:t>
      </w:r>
    </w:p>
    <w:tbl>
      <w:tblPr>
        <w:tblStyle w:val="6"/>
        <w:tblW w:w="10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901"/>
        <w:gridCol w:w="8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dxa"/>
            <w:vAlign w:val="center"/>
          </w:tcPr>
          <w:p>
            <w:pPr>
              <w:keepNext w:val="0"/>
              <w:keepLines w:val="0"/>
              <w:pageBreakBefore w:val="0"/>
              <w:widowControl w:val="0"/>
              <w:tabs>
                <w:tab w:val="left" w:pos="312"/>
              </w:tabs>
              <w:kinsoku/>
              <w:wordWrap/>
              <w:overflowPunct/>
              <w:topLinePunct w:val="0"/>
              <w:autoSpaceDE/>
              <w:autoSpaceDN/>
              <w:bidi w:val="0"/>
              <w:adjustRightInd/>
              <w:spacing w:line="240" w:lineRule="auto"/>
              <w:ind w:firstLine="0" w:firstLineChars="0"/>
              <w:jc w:val="center"/>
              <w:textAlignment w:val="auto"/>
              <w:rPr>
                <w:rFonts w:hint="eastAsia" w:ascii="仿宋" w:hAnsi="仿宋" w:eastAsia="仿宋" w:cs="仿宋"/>
                <w:b/>
                <w:sz w:val="24"/>
                <w:szCs w:val="24"/>
              </w:rPr>
            </w:pPr>
            <w:r>
              <w:rPr>
                <w:rFonts w:hint="eastAsia" w:ascii="仿宋" w:hAnsi="仿宋" w:eastAsia="仿宋" w:cs="仿宋"/>
                <w:b/>
                <w:sz w:val="24"/>
                <w:szCs w:val="24"/>
              </w:rPr>
              <w:t>专业代码</w:t>
            </w:r>
          </w:p>
          <w:p>
            <w:pPr>
              <w:keepNext w:val="0"/>
              <w:keepLines w:val="0"/>
              <w:pageBreakBefore w:val="0"/>
              <w:widowControl w:val="0"/>
              <w:tabs>
                <w:tab w:val="left" w:pos="312"/>
              </w:tabs>
              <w:kinsoku/>
              <w:wordWrap/>
              <w:overflowPunct/>
              <w:topLinePunct w:val="0"/>
              <w:autoSpaceDE/>
              <w:autoSpaceDN/>
              <w:bidi w:val="0"/>
              <w:adjustRightInd/>
              <w:spacing w:line="240" w:lineRule="auto"/>
              <w:ind w:firstLine="0" w:firstLineChars="0"/>
              <w:jc w:val="center"/>
              <w:textAlignment w:val="auto"/>
              <w:rPr>
                <w:rFonts w:hint="eastAsia" w:ascii="仿宋" w:hAnsi="仿宋" w:eastAsia="仿宋" w:cs="仿宋"/>
                <w:b/>
                <w:sz w:val="24"/>
                <w:szCs w:val="24"/>
              </w:rPr>
            </w:pPr>
            <w:r>
              <w:rPr>
                <w:rFonts w:hint="eastAsia" w:ascii="仿宋" w:hAnsi="仿宋" w:eastAsia="仿宋" w:cs="仿宋"/>
                <w:b/>
                <w:sz w:val="24"/>
                <w:szCs w:val="24"/>
                <w:lang w:val="en-US" w:eastAsia="zh-CN"/>
              </w:rPr>
              <w:t>专业</w:t>
            </w:r>
            <w:r>
              <w:rPr>
                <w:rFonts w:hint="eastAsia" w:ascii="仿宋" w:hAnsi="仿宋" w:eastAsia="仿宋" w:cs="仿宋"/>
                <w:b/>
                <w:sz w:val="24"/>
                <w:szCs w:val="24"/>
              </w:rPr>
              <w:t>名称</w:t>
            </w:r>
          </w:p>
        </w:tc>
        <w:tc>
          <w:tcPr>
            <w:tcW w:w="901" w:type="dxa"/>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sz w:val="24"/>
                <w:szCs w:val="24"/>
              </w:rPr>
            </w:pPr>
            <w:r>
              <w:rPr>
                <w:rFonts w:hint="eastAsia" w:ascii="仿宋" w:hAnsi="仿宋" w:eastAsia="仿宋" w:cs="仿宋"/>
                <w:b/>
                <w:sz w:val="24"/>
                <w:szCs w:val="24"/>
              </w:rPr>
              <w:t>调剂复试比例</w:t>
            </w:r>
          </w:p>
        </w:tc>
        <w:tc>
          <w:tcPr>
            <w:tcW w:w="8271" w:type="dxa"/>
            <w:vAlign w:val="center"/>
          </w:tcPr>
          <w:p>
            <w:pPr>
              <w:keepNext w:val="0"/>
              <w:keepLines w:val="0"/>
              <w:pageBreakBefore w:val="0"/>
              <w:widowControl w:val="0"/>
              <w:tabs>
                <w:tab w:val="left" w:pos="312"/>
              </w:tabs>
              <w:kinsoku/>
              <w:wordWrap/>
              <w:overflowPunct/>
              <w:topLinePunct w:val="0"/>
              <w:autoSpaceDE/>
              <w:autoSpaceDN/>
              <w:bidi w:val="0"/>
              <w:adjustRightInd/>
              <w:spacing w:line="240" w:lineRule="auto"/>
              <w:ind w:firstLine="0" w:firstLineChars="0"/>
              <w:jc w:val="center"/>
              <w:textAlignment w:val="auto"/>
              <w:rPr>
                <w:rFonts w:hint="eastAsia" w:ascii="仿宋" w:hAnsi="仿宋" w:eastAsia="仿宋" w:cs="仿宋"/>
                <w:b/>
                <w:sz w:val="24"/>
                <w:szCs w:val="24"/>
              </w:rPr>
            </w:pPr>
            <w:r>
              <w:rPr>
                <w:rFonts w:hint="eastAsia" w:ascii="仿宋" w:hAnsi="仿宋" w:eastAsia="仿宋" w:cs="仿宋"/>
                <w:b/>
                <w:sz w:val="24"/>
                <w:szCs w:val="24"/>
              </w:rPr>
              <w:t>报名要求与进入调剂复试规则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9" w:type="dxa"/>
            <w:vAlign w:val="center"/>
          </w:tcPr>
          <w:p>
            <w:pPr>
              <w:keepNext w:val="0"/>
              <w:keepLines w:val="0"/>
              <w:pageBreakBefore w:val="0"/>
              <w:widowControl w:val="0"/>
              <w:tabs>
                <w:tab w:val="left" w:pos="312"/>
              </w:tabs>
              <w:kinsoku/>
              <w:wordWrap/>
              <w:overflowPunct/>
              <w:topLinePunct w:val="0"/>
              <w:autoSpaceDE/>
              <w:autoSpaceDN/>
              <w:bidi w:val="0"/>
              <w:adjustRightInd/>
              <w:spacing w:line="240" w:lineRule="auto"/>
              <w:ind w:firstLine="0" w:firstLineChars="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085</w:t>
            </w:r>
            <w:r>
              <w:rPr>
                <w:rFonts w:hint="eastAsia" w:ascii="仿宋" w:hAnsi="仿宋" w:eastAsia="仿宋" w:cs="仿宋"/>
                <w:sz w:val="24"/>
                <w:szCs w:val="24"/>
                <w:lang w:val="en-US" w:eastAsia="zh-CN"/>
              </w:rPr>
              <w:t>4</w:t>
            </w:r>
            <w:r>
              <w:rPr>
                <w:rFonts w:hint="eastAsia" w:ascii="仿宋" w:hAnsi="仿宋" w:eastAsia="仿宋" w:cs="仿宋"/>
                <w:sz w:val="24"/>
                <w:szCs w:val="24"/>
              </w:rPr>
              <w:t>00</w:t>
            </w:r>
            <w:r>
              <w:rPr>
                <w:rFonts w:hint="eastAsia" w:ascii="仿宋" w:hAnsi="仿宋" w:eastAsia="仿宋" w:cs="仿宋"/>
                <w:sz w:val="24"/>
                <w:szCs w:val="24"/>
                <w:lang w:eastAsia="zh-CN"/>
              </w:rPr>
              <w:t>电子信息</w:t>
            </w:r>
          </w:p>
        </w:tc>
        <w:tc>
          <w:tcPr>
            <w:tcW w:w="901" w:type="dxa"/>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color w:val="000000" w:themeColor="text1"/>
                <w:sz w:val="24"/>
                <w:szCs w:val="24"/>
                <w:lang w:val="en-US" w:eastAsia="zh-CN"/>
                <w14:textFill>
                  <w14:solidFill>
                    <w14:schemeClr w14:val="tx1"/>
                  </w14:solidFill>
                </w14:textFill>
              </w:rPr>
              <w:t>140%</w:t>
            </w:r>
          </w:p>
        </w:tc>
        <w:tc>
          <w:tcPr>
            <w:tcW w:w="8271" w:type="dxa"/>
            <w:vAlign w:val="center"/>
          </w:tcPr>
          <w:p>
            <w:pPr>
              <w:keepNext w:val="0"/>
              <w:keepLines w:val="0"/>
              <w:pageBreakBefore w:val="0"/>
              <w:widowControl w:val="0"/>
              <w:tabs>
                <w:tab w:val="left" w:pos="312"/>
              </w:tabs>
              <w:kinsoku/>
              <w:wordWrap/>
              <w:overflowPunct/>
              <w:topLinePunct w:val="0"/>
              <w:autoSpaceDE/>
              <w:autoSpaceDN/>
              <w:bidi w:val="0"/>
              <w:adjustRightInd/>
              <w:snapToGrid w:val="0"/>
              <w:spacing w:line="24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本专业若需调剂，考生报名及进入调剂复试要求如下：</w:t>
            </w:r>
          </w:p>
          <w:p>
            <w:pPr>
              <w:keepNext w:val="0"/>
              <w:keepLines w:val="0"/>
              <w:pageBreakBefore w:val="0"/>
              <w:widowControl w:val="0"/>
              <w:tabs>
                <w:tab w:val="left" w:pos="312"/>
              </w:tabs>
              <w:kinsoku/>
              <w:wordWrap/>
              <w:overflowPunct/>
              <w:topLinePunct w:val="0"/>
              <w:autoSpaceDE/>
              <w:autoSpaceDN/>
              <w:bidi w:val="0"/>
              <w:adjustRightInd/>
              <w:snapToGrid w:val="0"/>
              <w:spacing w:line="240" w:lineRule="auto"/>
              <w:ind w:left="0" w:firstLine="480" w:firstLineChars="20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rPr>
              <w:t>（1）</w:t>
            </w:r>
            <w:r>
              <w:rPr>
                <w:rFonts w:hint="eastAsia" w:ascii="仿宋" w:hAnsi="仿宋" w:eastAsia="仿宋" w:cs="仿宋"/>
                <w:b/>
                <w:color w:val="000000" w:themeColor="text1"/>
                <w:sz w:val="24"/>
                <w:szCs w:val="24"/>
                <w14:textFill>
                  <w14:solidFill>
                    <w14:schemeClr w14:val="tx1"/>
                  </w14:solidFill>
                </w14:textFill>
              </w:rPr>
              <w:t>报名要求：</w:t>
            </w:r>
            <w:r>
              <w:rPr>
                <w:rFonts w:hint="eastAsia" w:ascii="仿宋" w:hAnsi="仿宋" w:eastAsia="仿宋" w:cs="仿宋"/>
                <w:sz w:val="24"/>
                <w:szCs w:val="24"/>
              </w:rPr>
              <w:t>考生初试成绩须达到</w:t>
            </w:r>
            <w:r>
              <w:rPr>
                <w:rFonts w:hint="eastAsia" w:ascii="仿宋" w:hAnsi="仿宋" w:eastAsia="仿宋" w:cs="仿宋"/>
                <w:sz w:val="24"/>
                <w:szCs w:val="24"/>
                <w:lang w:val="en-US" w:eastAsia="zh-CN"/>
              </w:rPr>
              <w:t>本专业复试专业分数线：</w:t>
            </w:r>
            <w:r>
              <w:rPr>
                <w:rFonts w:hint="eastAsia" w:ascii="仿宋" w:hAnsi="仿宋" w:eastAsia="仿宋" w:cs="仿宋"/>
                <w:color w:val="auto"/>
                <w:sz w:val="24"/>
                <w:szCs w:val="24"/>
                <w:lang w:val="en-US" w:eastAsia="zh-CN"/>
              </w:rPr>
              <w:t>政治45、外国语45、业务课一60、业务课二75、总分296</w:t>
            </w:r>
            <w:r>
              <w:rPr>
                <w:rFonts w:hint="eastAsia" w:ascii="仿宋" w:hAnsi="仿宋" w:eastAsia="仿宋" w:cs="仿宋"/>
                <w:sz w:val="24"/>
                <w:szCs w:val="24"/>
              </w:rPr>
              <w:t>。</w:t>
            </w:r>
            <w:r>
              <w:rPr>
                <w:rFonts w:hint="eastAsia" w:ascii="仿宋" w:hAnsi="仿宋" w:eastAsia="仿宋" w:cs="仿宋"/>
                <w:sz w:val="24"/>
                <w:szCs w:val="24"/>
                <w:highlight w:val="none"/>
              </w:rPr>
              <w:t>仅接受第一志愿报考我校0</w:t>
            </w:r>
            <w:r>
              <w:rPr>
                <w:rFonts w:hint="default" w:ascii="仿宋" w:hAnsi="仿宋" w:eastAsia="仿宋" w:cs="仿宋"/>
                <w:sz w:val="24"/>
                <w:szCs w:val="24"/>
                <w:highlight w:val="none"/>
                <w:lang w:val="en-US"/>
              </w:rPr>
              <w:t>80900</w:t>
            </w:r>
            <w:r>
              <w:rPr>
                <w:rFonts w:hint="eastAsia" w:ascii="仿宋" w:hAnsi="仿宋" w:eastAsia="仿宋" w:cs="仿宋"/>
                <w:sz w:val="24"/>
                <w:szCs w:val="24"/>
                <w:highlight w:val="none"/>
                <w:lang w:val="en-US" w:eastAsia="zh-CN"/>
              </w:rPr>
              <w:t>电子科学与技术专业和学科门类0854电子信息</w:t>
            </w:r>
            <w:r>
              <w:rPr>
                <w:rFonts w:hint="eastAsia" w:ascii="仿宋" w:hAnsi="仿宋" w:eastAsia="仿宋" w:cs="仿宋"/>
                <w:sz w:val="24"/>
                <w:szCs w:val="24"/>
                <w:highlight w:val="none"/>
              </w:rPr>
              <w:t>的考生</w:t>
            </w:r>
            <w:r>
              <w:rPr>
                <w:rFonts w:hint="eastAsia" w:ascii="仿宋" w:hAnsi="仿宋" w:eastAsia="仿宋" w:cs="仿宋"/>
                <w:sz w:val="24"/>
                <w:szCs w:val="24"/>
                <w:highlight w:val="none"/>
                <w:lang w:eastAsia="zh-CN"/>
              </w:rPr>
              <w:t>。</w:t>
            </w:r>
          </w:p>
          <w:p>
            <w:pPr>
              <w:keepNext w:val="0"/>
              <w:keepLines w:val="0"/>
              <w:pageBreakBefore w:val="0"/>
              <w:widowControl w:val="0"/>
              <w:tabs>
                <w:tab w:val="left" w:pos="312"/>
              </w:tabs>
              <w:kinsoku/>
              <w:wordWrap/>
              <w:overflowPunct/>
              <w:topLinePunct w:val="0"/>
              <w:autoSpaceDE/>
              <w:autoSpaceDN/>
              <w:bidi w:val="0"/>
              <w:adjustRightInd/>
              <w:snapToGrid w:val="0"/>
              <w:spacing w:line="240" w:lineRule="auto"/>
              <w:ind w:left="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highlight w:val="none"/>
              </w:rPr>
              <w:t>（2）</w:t>
            </w:r>
            <w:r>
              <w:rPr>
                <w:rFonts w:hint="eastAsia" w:ascii="仿宋" w:hAnsi="仿宋" w:eastAsia="仿宋" w:cs="仿宋"/>
                <w:b/>
                <w:sz w:val="24"/>
                <w:szCs w:val="24"/>
                <w:highlight w:val="none"/>
              </w:rPr>
              <w:t>进入调剂复试规则：</w:t>
            </w:r>
            <w:r>
              <w:rPr>
                <w:rFonts w:hint="eastAsia" w:ascii="仿宋" w:hAnsi="仿宋" w:eastAsia="仿宋" w:cs="仿宋"/>
                <w:sz w:val="24"/>
                <w:szCs w:val="24"/>
                <w:highlight w:val="none"/>
              </w:rPr>
              <w:t>第一志愿为我校</w:t>
            </w:r>
            <w:r>
              <w:rPr>
                <w:rFonts w:hint="eastAsia" w:ascii="仿宋" w:hAnsi="仿宋" w:eastAsia="仿宋" w:cs="仿宋"/>
                <w:sz w:val="24"/>
                <w:szCs w:val="24"/>
                <w:highlight w:val="none"/>
                <w:lang w:eastAsia="zh-CN"/>
              </w:rPr>
              <w:t>微电子学院</w:t>
            </w:r>
            <w:r>
              <w:rPr>
                <w:rFonts w:hint="eastAsia" w:ascii="仿宋" w:hAnsi="仿宋" w:eastAsia="仿宋" w:cs="仿宋"/>
                <w:sz w:val="24"/>
                <w:szCs w:val="24"/>
                <w:highlight w:val="none"/>
              </w:rPr>
              <w:t>08</w:t>
            </w:r>
            <w:r>
              <w:rPr>
                <w:rFonts w:hint="eastAsia" w:ascii="仿宋" w:hAnsi="仿宋" w:eastAsia="仿宋" w:cs="仿宋"/>
                <w:sz w:val="24"/>
                <w:szCs w:val="24"/>
                <w:highlight w:val="none"/>
                <w:lang w:val="en-US" w:eastAsia="zh-CN"/>
              </w:rPr>
              <w:t>0900电子科学与技术</w:t>
            </w:r>
            <w:r>
              <w:rPr>
                <w:rFonts w:hint="eastAsia" w:ascii="仿宋" w:hAnsi="仿宋" w:eastAsia="仿宋" w:cs="仿宋"/>
                <w:sz w:val="24"/>
                <w:szCs w:val="24"/>
                <w:highlight w:val="none"/>
                <w:lang w:eastAsia="zh-CN"/>
              </w:rPr>
              <w:t>专业、非微电子学院</w:t>
            </w:r>
            <w:r>
              <w:rPr>
                <w:rFonts w:hint="eastAsia" w:ascii="仿宋" w:hAnsi="仿宋" w:eastAsia="仿宋" w:cs="仿宋"/>
                <w:sz w:val="24"/>
                <w:szCs w:val="24"/>
                <w:highlight w:val="none"/>
                <w:lang w:val="en-US" w:eastAsia="zh-CN"/>
              </w:rPr>
              <w:t>085400</w:t>
            </w:r>
            <w:r>
              <w:rPr>
                <w:rFonts w:hint="eastAsia" w:ascii="仿宋" w:hAnsi="仿宋" w:eastAsia="仿宋" w:cs="仿宋"/>
                <w:sz w:val="24"/>
                <w:szCs w:val="24"/>
                <w:highlight w:val="none"/>
                <w:lang w:eastAsia="zh-CN"/>
              </w:rPr>
              <w:t>电子信息专业</w:t>
            </w:r>
            <w:r>
              <w:rPr>
                <w:rFonts w:hint="eastAsia" w:ascii="仿宋" w:hAnsi="仿宋" w:eastAsia="仿宋" w:cs="仿宋"/>
                <w:sz w:val="24"/>
                <w:szCs w:val="24"/>
                <w:highlight w:val="none"/>
              </w:rPr>
              <w:t>的考生</w:t>
            </w:r>
            <w:r>
              <w:rPr>
                <w:rFonts w:hint="eastAsia" w:ascii="仿宋" w:hAnsi="仿宋" w:eastAsia="仿宋" w:cs="仿宋"/>
                <w:sz w:val="24"/>
                <w:szCs w:val="24"/>
                <w:highlight w:val="none"/>
                <w:lang w:eastAsia="zh-CN"/>
              </w:rPr>
              <w:t>按照初试总成绩由高分到低分进入调剂复试。</w:t>
            </w:r>
          </w:p>
          <w:p>
            <w:pPr>
              <w:keepNext w:val="0"/>
              <w:keepLines w:val="0"/>
              <w:pageBreakBefore w:val="0"/>
              <w:widowControl w:val="0"/>
              <w:tabs>
                <w:tab w:val="left" w:pos="312"/>
              </w:tabs>
              <w:kinsoku/>
              <w:wordWrap/>
              <w:overflowPunct/>
              <w:topLinePunct w:val="0"/>
              <w:autoSpaceDE/>
              <w:autoSpaceDN/>
              <w:bidi w:val="0"/>
              <w:adjustRightInd/>
              <w:snapToGrid w:val="0"/>
              <w:spacing w:line="240" w:lineRule="auto"/>
              <w:ind w:left="0"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（3）</w:t>
            </w:r>
            <w:r>
              <w:rPr>
                <w:rFonts w:hint="eastAsia" w:ascii="仿宋" w:hAnsi="仿宋" w:eastAsia="仿宋" w:cs="仿宋"/>
                <w:b/>
                <w:sz w:val="24"/>
                <w:szCs w:val="24"/>
              </w:rPr>
              <w:t>调剂流程：</w:t>
            </w:r>
            <w:r>
              <w:rPr>
                <w:rFonts w:hint="eastAsia" w:ascii="仿宋" w:hAnsi="仿宋" w:eastAsia="仿宋" w:cs="仿宋"/>
                <w:sz w:val="24"/>
                <w:szCs w:val="24"/>
              </w:rPr>
              <w:t>优先对进入复试而未被录取考生的调剂；经调剂后合格生源仍不足，将对未进入复试但考生小分、总分高于一志愿学科（专业）门类线与国家一区线的考生进行调剂</w:t>
            </w:r>
            <w:r>
              <w:rPr>
                <w:rFonts w:hint="eastAsia" w:ascii="仿宋" w:hAnsi="仿宋" w:eastAsia="仿宋" w:cs="仿宋"/>
                <w:sz w:val="24"/>
                <w:szCs w:val="24"/>
                <w:lang w:eastAsia="zh-CN"/>
              </w:rPr>
              <w:t>复试。</w:t>
            </w:r>
          </w:p>
        </w:tc>
      </w:tr>
    </w:tbl>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（三）资格审查及既往材料要求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对考生调剂复试资格进行网络线上审查，考生须通过指定方式提交下列证件及材料扫描件或照片：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准考证</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.身份证（正反面）。其中少数民族考生身份以报考时查验的身份证为准，复试时不得更改。少数民族地区以国务院有关部门公布的《全国民族区域自治地方简表》为准；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.往届考生的学历学位证书，应届考生的学生证（</w:t>
      </w:r>
      <w:r>
        <w:rPr>
          <w:rFonts w:hint="eastAsia" w:ascii="仿宋" w:hAnsi="仿宋" w:eastAsia="仿宋" w:cs="仿宋"/>
          <w:sz w:val="28"/>
          <w:szCs w:val="28"/>
          <w:lang w:eastAsia="zh-CN"/>
        </w:rPr>
        <w:t>或能证明在学情况的相关材料</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.未通过网上学历(学籍)校验的考生需提供相关学历（学籍）</w:t>
      </w:r>
      <w:r>
        <w:rPr>
          <w:rFonts w:hint="eastAsia" w:ascii="仿宋" w:hAnsi="仿宋" w:eastAsia="仿宋" w:cs="仿宋"/>
          <w:sz w:val="28"/>
          <w:szCs w:val="28"/>
          <w:lang w:val="en-US" w:eastAsia="zh-CN"/>
        </w:rPr>
        <w:t>的</w:t>
      </w:r>
      <w:r>
        <w:rPr>
          <w:rFonts w:hint="eastAsia" w:ascii="仿宋" w:hAnsi="仿宋" w:eastAsia="仿宋" w:cs="仿宋"/>
          <w:sz w:val="28"/>
          <w:szCs w:val="28"/>
        </w:rPr>
        <w:t>《教育部学历证书电子注册备案表》</w:t>
      </w:r>
      <w:r>
        <w:rPr>
          <w:rFonts w:hint="eastAsia" w:ascii="仿宋" w:hAnsi="仿宋" w:eastAsia="仿宋" w:cs="仿宋"/>
          <w:sz w:val="28"/>
          <w:szCs w:val="28"/>
          <w:lang w:eastAsia="zh-CN"/>
        </w:rPr>
        <w:t>（</w:t>
      </w:r>
      <w:r>
        <w:rPr>
          <w:rFonts w:hint="eastAsia" w:ascii="仿宋" w:hAnsi="仿宋" w:eastAsia="仿宋" w:cs="仿宋"/>
          <w:sz w:val="28"/>
          <w:szCs w:val="28"/>
        </w:rPr>
        <w:t>认证报告</w:t>
      </w:r>
      <w:r>
        <w:rPr>
          <w:rFonts w:hint="eastAsia" w:ascii="仿宋" w:hAnsi="仿宋" w:eastAsia="仿宋" w:cs="仿宋"/>
          <w:sz w:val="28"/>
          <w:szCs w:val="28"/>
          <w:lang w:eastAsia="zh-CN"/>
        </w:rPr>
        <w:t>）</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.高职高专同等学力考生在国家核心期刊发表的论文（署名前2名）及具有资质的开课单位教务处出具的11门本科主干课程成绩证明；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《诚信复试承诺书》</w:t>
      </w:r>
      <w:r>
        <w:rPr>
          <w:rFonts w:hint="eastAsia" w:ascii="仿宋" w:hAnsi="仿宋" w:eastAsia="仿宋" w:cs="仿宋"/>
          <w:sz w:val="28"/>
          <w:szCs w:val="28"/>
          <w:lang w:eastAsia="zh-CN"/>
        </w:rPr>
        <w:t>请见附件</w:t>
      </w:r>
      <w:r>
        <w:rPr>
          <w:rFonts w:hint="eastAsia" w:ascii="仿宋" w:hAnsi="仿宋" w:eastAsia="仿宋" w:cs="仿宋"/>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7.大连理工大学硕士研究生思想政治考核表请见附件3；</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以上每个材料以“序号+考生姓名+准考证号+材料名称”形式进行命名。所有材料存至一个压缩包，以“考生姓名+准考证号+复试专业”形式进行命名。</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复试内容及分数</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1.思想政治素质和品德考核</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思想政治素质和品德考核内容参考学院</w:t>
      </w:r>
      <w:r>
        <w:rPr>
          <w:rFonts w:hint="eastAsia" w:ascii="仿宋" w:hAnsi="仿宋" w:eastAsia="仿宋" w:cs="仿宋"/>
          <w:b w:val="0"/>
          <w:bCs/>
          <w:sz w:val="28"/>
          <w:szCs w:val="28"/>
        </w:rPr>
        <w:t>复试说明</w:t>
      </w:r>
      <w:r>
        <w:rPr>
          <w:rFonts w:hint="eastAsia" w:ascii="仿宋" w:hAnsi="仿宋" w:eastAsia="仿宋" w:cs="仿宋"/>
          <w:b w:val="0"/>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2.</w:t>
      </w:r>
      <w:r>
        <w:rPr>
          <w:rFonts w:hint="eastAsia" w:ascii="仿宋" w:hAnsi="仿宋" w:eastAsia="仿宋" w:cs="仿宋"/>
          <w:b w:val="0"/>
          <w:bCs/>
          <w:sz w:val="28"/>
          <w:szCs w:val="28"/>
        </w:rPr>
        <w:t>心理素质测试</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心理素质测试内容参考</w:t>
      </w:r>
      <w:r>
        <w:rPr>
          <w:rFonts w:hint="eastAsia" w:ascii="仿宋" w:hAnsi="仿宋" w:eastAsia="仿宋" w:cs="仿宋"/>
          <w:b w:val="0"/>
          <w:bCs/>
          <w:sz w:val="28"/>
          <w:szCs w:val="28"/>
          <w:lang w:val="en-US" w:eastAsia="zh-CN"/>
        </w:rPr>
        <w:t>学院</w:t>
      </w:r>
      <w:r>
        <w:rPr>
          <w:rFonts w:hint="eastAsia" w:ascii="仿宋" w:hAnsi="仿宋" w:eastAsia="仿宋" w:cs="仿宋"/>
          <w:b w:val="0"/>
          <w:bCs/>
          <w:sz w:val="28"/>
          <w:szCs w:val="28"/>
        </w:rPr>
        <w:t>复试说明。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3.同等学力加试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rPr>
        <w:t>同等学力加试内容参考</w:t>
      </w:r>
      <w:r>
        <w:rPr>
          <w:rFonts w:hint="eastAsia" w:ascii="仿宋" w:hAnsi="仿宋" w:eastAsia="仿宋" w:cs="仿宋"/>
          <w:b w:val="0"/>
          <w:bCs/>
          <w:sz w:val="28"/>
          <w:szCs w:val="28"/>
          <w:lang w:val="en-US" w:eastAsia="zh-CN"/>
        </w:rPr>
        <w:t>学院</w:t>
      </w:r>
      <w:r>
        <w:rPr>
          <w:rFonts w:hint="eastAsia" w:ascii="仿宋" w:hAnsi="仿宋" w:eastAsia="仿宋" w:cs="仿宋"/>
          <w:b w:val="0"/>
          <w:bCs/>
          <w:sz w:val="28"/>
          <w:szCs w:val="28"/>
        </w:rPr>
        <w:t>复试说明。</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4.外语能力测试：</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认定一志愿</w:t>
      </w:r>
      <w:r>
        <w:rPr>
          <w:rFonts w:hint="eastAsia" w:ascii="仿宋" w:hAnsi="仿宋" w:eastAsia="仿宋" w:cs="仿宋"/>
          <w:b w:val="0"/>
          <w:bCs/>
          <w:sz w:val="28"/>
          <w:szCs w:val="28"/>
          <w:highlight w:val="none"/>
          <w:lang w:val="en-US" w:eastAsia="zh-CN"/>
        </w:rPr>
        <w:t>外语能力测试</w:t>
      </w:r>
      <w:r>
        <w:rPr>
          <w:rFonts w:hint="eastAsia" w:ascii="仿宋" w:hAnsi="仿宋" w:eastAsia="仿宋" w:cs="仿宋"/>
          <w:b w:val="0"/>
          <w:bCs/>
          <w:sz w:val="28"/>
          <w:szCs w:val="28"/>
          <w:highlight w:val="none"/>
        </w:rPr>
        <w:t>的成绩，未参加测试的考生必须重新测试，</w:t>
      </w:r>
      <w:r>
        <w:rPr>
          <w:rFonts w:hint="eastAsia" w:ascii="仿宋" w:hAnsi="仿宋" w:eastAsia="仿宋" w:cs="仿宋"/>
          <w:b w:val="0"/>
          <w:bCs/>
          <w:sz w:val="28"/>
          <w:szCs w:val="28"/>
          <w:highlight w:val="none"/>
          <w:lang w:val="en-US" w:eastAsia="zh-CN"/>
        </w:rPr>
        <w:t>外语能力测试</w:t>
      </w:r>
      <w:r>
        <w:rPr>
          <w:rFonts w:hint="eastAsia" w:ascii="仿宋" w:hAnsi="仿宋" w:eastAsia="仿宋" w:cs="仿宋"/>
          <w:b w:val="0"/>
          <w:bCs/>
          <w:sz w:val="28"/>
          <w:szCs w:val="28"/>
          <w:highlight w:val="none"/>
        </w:rPr>
        <w:t>内容及分数参考</w:t>
      </w:r>
      <w:r>
        <w:rPr>
          <w:rFonts w:hint="eastAsia" w:ascii="仿宋" w:hAnsi="仿宋" w:eastAsia="仿宋" w:cs="仿宋"/>
          <w:b w:val="0"/>
          <w:bCs/>
          <w:sz w:val="28"/>
          <w:szCs w:val="28"/>
          <w:highlight w:val="none"/>
          <w:lang w:val="en-US" w:eastAsia="zh-CN"/>
        </w:rPr>
        <w:t>学院</w:t>
      </w:r>
      <w:r>
        <w:rPr>
          <w:rFonts w:hint="eastAsia" w:ascii="仿宋" w:hAnsi="仿宋" w:eastAsia="仿宋" w:cs="仿宋"/>
          <w:b w:val="0"/>
          <w:bCs/>
          <w:sz w:val="28"/>
          <w:szCs w:val="28"/>
          <w:highlight w:val="none"/>
        </w:rPr>
        <w:t>复试说明。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5</w:t>
      </w:r>
      <w:r>
        <w:rPr>
          <w:rFonts w:hint="eastAsia" w:ascii="仿宋" w:hAnsi="仿宋" w:eastAsia="仿宋" w:cs="仿宋"/>
          <w:b w:val="0"/>
          <w:bCs/>
          <w:sz w:val="28"/>
          <w:szCs w:val="28"/>
        </w:rPr>
        <w:t>.综合素质和能力考核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综合素质和能力考核内容</w:t>
      </w:r>
      <w:r>
        <w:rPr>
          <w:rFonts w:hint="eastAsia" w:ascii="仿宋" w:hAnsi="仿宋" w:eastAsia="仿宋" w:cs="仿宋"/>
          <w:b w:val="0"/>
          <w:bCs/>
          <w:sz w:val="28"/>
          <w:szCs w:val="28"/>
          <w:lang w:val="en-US" w:eastAsia="zh-CN"/>
        </w:rPr>
        <w:t>和分数</w:t>
      </w:r>
      <w:r>
        <w:rPr>
          <w:rFonts w:hint="eastAsia" w:ascii="仿宋" w:hAnsi="仿宋" w:eastAsia="仿宋" w:cs="仿宋"/>
          <w:b w:val="0"/>
          <w:bCs/>
          <w:sz w:val="28"/>
          <w:szCs w:val="28"/>
        </w:rPr>
        <w:t>参考</w:t>
      </w:r>
      <w:r>
        <w:rPr>
          <w:rFonts w:hint="eastAsia" w:ascii="仿宋" w:hAnsi="仿宋" w:eastAsia="仿宋" w:cs="仿宋"/>
          <w:b w:val="0"/>
          <w:bCs/>
          <w:sz w:val="28"/>
          <w:szCs w:val="28"/>
          <w:lang w:val="en-US" w:eastAsia="zh-CN"/>
        </w:rPr>
        <w:t>学院</w:t>
      </w:r>
      <w:r>
        <w:rPr>
          <w:rFonts w:hint="eastAsia" w:ascii="仿宋" w:hAnsi="仿宋" w:eastAsia="仿宋" w:cs="仿宋"/>
          <w:b w:val="0"/>
          <w:bCs/>
          <w:sz w:val="28"/>
          <w:szCs w:val="28"/>
        </w:rPr>
        <w:t>复试说明。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6</w:t>
      </w:r>
      <w:r>
        <w:rPr>
          <w:rFonts w:hint="eastAsia" w:ascii="仿宋" w:hAnsi="仿宋" w:eastAsia="仿宋" w:cs="仿宋"/>
          <w:b w:val="0"/>
          <w:bCs/>
          <w:sz w:val="28"/>
          <w:szCs w:val="28"/>
        </w:rPr>
        <w:t>.专业素质和能力考核</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专业素质和能力考核内容</w:t>
      </w:r>
      <w:r>
        <w:rPr>
          <w:rFonts w:hint="eastAsia" w:ascii="仿宋" w:hAnsi="仿宋" w:eastAsia="仿宋" w:cs="仿宋"/>
          <w:b w:val="0"/>
          <w:bCs/>
          <w:sz w:val="28"/>
          <w:szCs w:val="28"/>
          <w:lang w:val="en-US" w:eastAsia="zh-CN"/>
        </w:rPr>
        <w:t>和分数</w:t>
      </w:r>
      <w:r>
        <w:rPr>
          <w:rFonts w:hint="eastAsia" w:ascii="仿宋" w:hAnsi="仿宋" w:eastAsia="仿宋" w:cs="仿宋"/>
          <w:b w:val="0"/>
          <w:bCs/>
          <w:sz w:val="28"/>
          <w:szCs w:val="28"/>
        </w:rPr>
        <w:t>参考</w:t>
      </w:r>
      <w:r>
        <w:rPr>
          <w:rFonts w:hint="eastAsia" w:ascii="仿宋" w:hAnsi="仿宋" w:eastAsia="仿宋" w:cs="仿宋"/>
          <w:b w:val="0"/>
          <w:bCs/>
          <w:sz w:val="28"/>
          <w:szCs w:val="28"/>
          <w:lang w:val="en-US" w:eastAsia="zh-CN"/>
        </w:rPr>
        <w:t>学院</w:t>
      </w:r>
      <w:r>
        <w:rPr>
          <w:rFonts w:hint="eastAsia" w:ascii="仿宋" w:hAnsi="仿宋" w:eastAsia="仿宋" w:cs="仿宋"/>
          <w:b w:val="0"/>
          <w:bCs/>
          <w:sz w:val="28"/>
          <w:szCs w:val="28"/>
        </w:rPr>
        <w:t>复试说明。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复试总成绩的计算公式为：</w:t>
      </w:r>
      <w:r>
        <w:rPr>
          <w:rFonts w:hint="eastAsia" w:ascii="仿宋" w:hAnsi="仿宋" w:eastAsia="仿宋" w:cs="仿宋"/>
          <w:b w:val="0"/>
          <w:bCs/>
          <w:sz w:val="28"/>
          <w:szCs w:val="28"/>
          <w:lang w:eastAsia="zh-CN"/>
        </w:rPr>
        <w:t>复试</w:t>
      </w:r>
      <w:r>
        <w:rPr>
          <w:rFonts w:hint="eastAsia" w:ascii="仿宋" w:hAnsi="仿宋" w:eastAsia="仿宋" w:cs="仿宋"/>
          <w:b w:val="0"/>
          <w:bCs/>
          <w:sz w:val="28"/>
          <w:szCs w:val="28"/>
        </w:rPr>
        <w:t>总成绩=外语能力测试成绩+综合素质和能力考核成绩+专业素质和能力考核成绩。复试总成绩满分为330分。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凡复试总成绩低于200分、或综合素质和能力考核成绩低于60分、或专业素质和能力考核成绩低于120分、或外语能力测试缺考、或同等学力考生的加试科目任何一门成绩低于60分的考生，即为不合格，不予录取。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rPr>
        <w:t>调剂</w:t>
      </w:r>
      <w:r>
        <w:rPr>
          <w:rFonts w:hint="eastAsia" w:ascii="仿宋" w:hAnsi="仿宋" w:eastAsia="仿宋" w:cs="仿宋"/>
          <w:b w:val="0"/>
          <w:bCs/>
          <w:sz w:val="28"/>
          <w:szCs w:val="28"/>
          <w:lang w:val="en-US" w:eastAsia="zh-CN"/>
        </w:rPr>
        <w:t>规定</w:t>
      </w:r>
      <w:r>
        <w:rPr>
          <w:rFonts w:hint="eastAsia" w:ascii="仿宋" w:hAnsi="仿宋" w:eastAsia="仿宋" w:cs="仿宋"/>
          <w:b w:val="0"/>
          <w:bCs/>
          <w:sz w:val="28"/>
          <w:szCs w:val="28"/>
        </w:rPr>
        <w:t>中其他未尽事宜请参照</w:t>
      </w:r>
      <w:r>
        <w:rPr>
          <w:rFonts w:hint="eastAsia" w:ascii="仿宋" w:hAnsi="仿宋" w:eastAsia="仿宋" w:cs="仿宋"/>
          <w:b w:val="0"/>
          <w:bCs/>
          <w:sz w:val="28"/>
          <w:szCs w:val="28"/>
          <w:lang w:val="en-US" w:eastAsia="zh-CN"/>
        </w:rPr>
        <w:t>学院</w:t>
      </w:r>
      <w:r>
        <w:rPr>
          <w:rFonts w:hint="eastAsia" w:ascii="仿宋" w:hAnsi="仿宋" w:eastAsia="仿宋" w:cs="仿宋"/>
          <w:b w:val="0"/>
          <w:bCs/>
          <w:sz w:val="28"/>
          <w:szCs w:val="28"/>
        </w:rPr>
        <w:t>复试</w:t>
      </w:r>
      <w:r>
        <w:rPr>
          <w:rFonts w:hint="eastAsia" w:ascii="仿宋" w:hAnsi="仿宋" w:eastAsia="仿宋" w:cs="仿宋"/>
          <w:b w:val="0"/>
          <w:bCs/>
          <w:sz w:val="28"/>
          <w:szCs w:val="28"/>
          <w:lang w:val="en-US" w:eastAsia="zh-CN"/>
        </w:rPr>
        <w:t>说明。</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color w:val="FF0000"/>
          <w:sz w:val="28"/>
          <w:szCs w:val="28"/>
          <w:lang w:val="en-US" w:eastAsia="zh-CN"/>
        </w:rPr>
      </w:pPr>
      <w:r>
        <w:rPr>
          <w:rFonts w:hint="eastAsia" w:ascii="仿宋" w:hAnsi="仿宋" w:eastAsia="仿宋" w:cs="仿宋"/>
          <w:b w:val="0"/>
          <w:bCs/>
          <w:color w:val="FF0000"/>
          <w:sz w:val="28"/>
          <w:szCs w:val="28"/>
        </w:rPr>
        <w:t>如需调剂按上述调剂规则执行，具体通知参</w:t>
      </w:r>
      <w:r>
        <w:rPr>
          <w:rFonts w:hint="eastAsia" w:ascii="仿宋" w:hAnsi="仿宋" w:eastAsia="仿宋" w:cs="仿宋"/>
          <w:b w:val="0"/>
          <w:bCs/>
          <w:color w:val="FF0000"/>
          <w:sz w:val="28"/>
          <w:szCs w:val="28"/>
          <w:lang w:eastAsia="zh-CN"/>
        </w:rPr>
        <w:t>见</w:t>
      </w:r>
      <w:r>
        <w:rPr>
          <w:rFonts w:hint="eastAsia" w:ascii="仿宋" w:hAnsi="仿宋" w:eastAsia="仿宋" w:cs="仿宋"/>
          <w:b w:val="0"/>
          <w:bCs/>
          <w:color w:val="FF0000"/>
          <w:sz w:val="28"/>
          <w:szCs w:val="28"/>
        </w:rPr>
        <w:t>调剂通知。</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黑体" w:hAnsi="黑体" w:eastAsia="黑体" w:cs="黑体"/>
          <w:b/>
          <w:sz w:val="28"/>
          <w:szCs w:val="28"/>
        </w:rPr>
      </w:pPr>
      <w:r>
        <w:rPr>
          <w:rFonts w:hint="eastAsia" w:ascii="黑体" w:hAnsi="黑体" w:eastAsia="黑体" w:cs="黑体"/>
          <w:b/>
          <w:sz w:val="28"/>
          <w:szCs w:val="28"/>
        </w:rPr>
        <w:t>五、体检</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在疫情防控期间，为了保障考生的生命健康安全，避免考生到医院、体检中心等人员密集高危险地点聚集，</w:t>
      </w:r>
      <w:r>
        <w:rPr>
          <w:rFonts w:hint="eastAsia" w:ascii="仿宋" w:hAnsi="仿宋" w:eastAsia="仿宋" w:cs="仿宋"/>
          <w:sz w:val="28"/>
          <w:szCs w:val="28"/>
          <w:lang w:val="en-US" w:eastAsia="zh-CN"/>
        </w:rPr>
        <w:t>按照学校复试录取要求，</w:t>
      </w:r>
      <w:r>
        <w:rPr>
          <w:rFonts w:hint="eastAsia" w:ascii="仿宋" w:hAnsi="仿宋" w:eastAsia="仿宋" w:cs="仿宋"/>
          <w:sz w:val="28"/>
          <w:szCs w:val="28"/>
        </w:rPr>
        <w:t>2020年硕士研究生招生考试体检与新生入学体检合并。已录取考生将在开学时参加学校组织的入学体检，体检要求按照《普通高等学校招生体检工作指导意见》（教学〔2003〕3号）、《教育部办公厅 卫生部办公厅关于普通高等学校招生学生入学身体检查取消乙肝项目检测有关问题的通知》（教学厅〔2010〕2号）等文件执行。</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黑体" w:hAnsi="黑体" w:eastAsia="黑体" w:cs="黑体"/>
          <w:b/>
          <w:sz w:val="28"/>
          <w:szCs w:val="28"/>
        </w:rPr>
      </w:pPr>
      <w:r>
        <w:rPr>
          <w:rFonts w:hint="eastAsia" w:ascii="黑体" w:hAnsi="黑体" w:eastAsia="黑体" w:cs="黑体"/>
          <w:b/>
          <w:sz w:val="28"/>
          <w:szCs w:val="28"/>
        </w:rPr>
        <w:t>六、录取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1.考生总成绩的计算公式为：总成绩＝初试总成绩+复试总成绩。</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学院</w:t>
      </w:r>
      <w:r>
        <w:rPr>
          <w:rFonts w:hint="eastAsia" w:ascii="仿宋" w:hAnsi="仿宋" w:eastAsia="仿宋" w:cs="仿宋"/>
          <w:sz w:val="28"/>
          <w:szCs w:val="28"/>
          <w:lang w:val="en-US" w:eastAsia="zh-CN"/>
        </w:rPr>
        <w:t>将</w:t>
      </w:r>
      <w:r>
        <w:rPr>
          <w:rFonts w:hint="eastAsia" w:ascii="仿宋" w:hAnsi="仿宋" w:eastAsia="仿宋" w:cs="仿宋"/>
          <w:sz w:val="28"/>
          <w:szCs w:val="28"/>
        </w:rPr>
        <w:t>严格依据总成绩在相应学科（类别）、专业（领域）的排名、招生计划、思想政治表现、身心健康状况等择优确定拟录取名单，并报学校审批。审批后发放拟录取考生调档函。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rPr>
        <w:t>3.拟录取的定向就业硕士研究生须在被录取前与我校研究生院、用人单位分别签订定向就业合同。</w:t>
      </w:r>
      <w:r>
        <w:rPr>
          <w:rFonts w:hint="eastAsia" w:ascii="仿宋" w:hAnsi="仿宋" w:eastAsia="仿宋" w:cs="仿宋"/>
          <w:sz w:val="28"/>
          <w:szCs w:val="28"/>
          <w:highlight w:val="none"/>
        </w:rPr>
        <w:t>参加单独考试的考生，只能被录取为回原单位定向就业硕士研究生。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4.由于特殊原因想要保留入学资格的考生，</w:t>
      </w:r>
      <w:r>
        <w:rPr>
          <w:rFonts w:hint="eastAsia" w:ascii="仿宋" w:hAnsi="仿宋" w:eastAsia="仿宋" w:cs="仿宋"/>
          <w:sz w:val="28"/>
          <w:szCs w:val="28"/>
          <w:lang w:val="en-US" w:eastAsia="zh-CN"/>
        </w:rPr>
        <w:t>于6月1日前将</w:t>
      </w:r>
      <w:r>
        <w:rPr>
          <w:rFonts w:hint="eastAsia" w:ascii="仿宋" w:hAnsi="仿宋" w:eastAsia="仿宋" w:cs="仿宋"/>
          <w:sz w:val="28"/>
          <w:szCs w:val="28"/>
        </w:rPr>
        <w:t>《保留资格申请表》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一式两份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签字版邮寄至大连市甘井子区凌工路2号研究生教育大楼726室微电子学院，电子版发至邮箱fengyl@dlut.edu.cn</w:t>
      </w:r>
      <w:r>
        <w:rPr>
          <w:rFonts w:hint="eastAsia" w:ascii="仿宋" w:hAnsi="仿宋" w:eastAsia="仿宋" w:cs="仿宋"/>
          <w:sz w:val="28"/>
          <w:szCs w:val="28"/>
        </w:rPr>
        <w:t>，审批同意后，保留资格1至2年。保留期满后，需填写《保留资格返回申请表》申请</w:t>
      </w:r>
      <w:bookmarkStart w:id="0" w:name="_GoBack"/>
      <w:bookmarkEnd w:id="0"/>
      <w:r>
        <w:rPr>
          <w:rFonts w:hint="eastAsia" w:ascii="仿宋" w:hAnsi="仿宋" w:eastAsia="仿宋" w:cs="仿宋"/>
          <w:sz w:val="28"/>
          <w:szCs w:val="28"/>
        </w:rPr>
        <w:t>返回。录取为保留入学资格的考生占用当年招生计划。</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5.经考生确认的报考信息在录取阶段一律不作修改，对报考资格不符合规定者不予录取。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6.应届本科毕业生及自学考试和网络教育届时可毕业本科生考生，入学时（2020级硕士研究生开学时间以学校文件为准）未取得国家承认的本科毕业证书者，录取资格无效。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7.2020年拟录取的硕士研究生入学后3个月内，将对所有考生进行全面复查。复查不合格者，取消学籍；情节严重的，移交有关部门调查处理。</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黑体" w:hAnsi="黑体" w:eastAsia="黑体" w:cs="黑体"/>
          <w:b/>
          <w:sz w:val="28"/>
          <w:szCs w:val="28"/>
        </w:rPr>
      </w:pPr>
      <w:r>
        <w:rPr>
          <w:rFonts w:hint="eastAsia" w:ascii="黑体" w:hAnsi="黑体" w:eastAsia="黑体" w:cs="黑体"/>
          <w:b/>
          <w:sz w:val="28"/>
          <w:szCs w:val="28"/>
          <w:lang w:val="en-US" w:eastAsia="zh-CN"/>
        </w:rPr>
        <w:t>七</w:t>
      </w:r>
      <w:r>
        <w:rPr>
          <w:rFonts w:hint="eastAsia" w:ascii="黑体" w:hAnsi="黑体" w:eastAsia="黑体" w:cs="黑体"/>
          <w:b/>
          <w:sz w:val="28"/>
          <w:szCs w:val="28"/>
        </w:rPr>
        <w:t>、信息公开与监督</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将在微电子学院官方网站</w:t>
      </w:r>
      <w:r>
        <w:rPr>
          <w:rFonts w:hint="eastAsia" w:ascii="仿宋" w:hAnsi="仿宋" w:eastAsia="仿宋" w:cs="仿宋"/>
          <w:sz w:val="28"/>
          <w:szCs w:val="28"/>
        </w:rPr>
        <w:t>上公布考生进入复试的初试成绩要求、专业招生计划、复试名单、复试</w:t>
      </w:r>
      <w:r>
        <w:rPr>
          <w:rFonts w:hint="eastAsia" w:ascii="仿宋" w:hAnsi="仿宋" w:eastAsia="仿宋" w:cs="仿宋"/>
          <w:sz w:val="28"/>
          <w:szCs w:val="28"/>
          <w:lang w:eastAsia="zh-CN"/>
        </w:rPr>
        <w:t>办法</w:t>
      </w:r>
      <w:r>
        <w:rPr>
          <w:rFonts w:hint="eastAsia" w:ascii="仿宋" w:hAnsi="仿宋" w:eastAsia="仿宋" w:cs="仿宋"/>
          <w:sz w:val="28"/>
          <w:szCs w:val="28"/>
        </w:rPr>
        <w:t>、调剂</w:t>
      </w:r>
      <w:r>
        <w:rPr>
          <w:rFonts w:hint="eastAsia" w:ascii="仿宋" w:hAnsi="仿宋" w:eastAsia="仿宋" w:cs="仿宋"/>
          <w:sz w:val="28"/>
          <w:szCs w:val="28"/>
          <w:lang w:val="en-US" w:eastAsia="zh-CN"/>
        </w:rPr>
        <w:t>通知、复试成绩、拟录取名单</w:t>
      </w:r>
      <w:r>
        <w:rPr>
          <w:rFonts w:hint="eastAsia" w:ascii="仿宋" w:hAnsi="仿宋" w:eastAsia="仿宋" w:cs="仿宋"/>
          <w:sz w:val="28"/>
          <w:szCs w:val="28"/>
        </w:rPr>
        <w:t>等相关信息。未经公示的考生不得录取。</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监督联系</w:t>
      </w:r>
      <w:r>
        <w:rPr>
          <w:rFonts w:hint="eastAsia" w:ascii="仿宋" w:hAnsi="仿宋" w:eastAsia="仿宋" w:cs="仿宋"/>
          <w:sz w:val="28"/>
          <w:szCs w:val="28"/>
          <w:highlight w:val="none"/>
          <w:lang w:val="en-US" w:eastAsia="zh-CN"/>
        </w:rPr>
        <w:t>人：孙老师</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监督电话：</w:t>
      </w:r>
      <w:r>
        <w:rPr>
          <w:rFonts w:hint="eastAsia" w:ascii="仿宋" w:hAnsi="仿宋" w:eastAsia="仿宋" w:cs="仿宋"/>
          <w:sz w:val="28"/>
          <w:szCs w:val="28"/>
          <w:lang w:val="en-US" w:eastAsia="zh-CN"/>
        </w:rPr>
        <w:t>0411-84706634</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监督邮箱：</w:t>
      </w:r>
      <w:r>
        <w:rPr>
          <w:rFonts w:hint="eastAsia" w:ascii="仿宋" w:hAnsi="仿宋" w:eastAsia="仿宋" w:cs="仿宋"/>
          <w:sz w:val="28"/>
          <w:szCs w:val="28"/>
          <w:lang w:val="en-US" w:eastAsia="zh-CN"/>
        </w:rPr>
        <w:t>sunxh@dlut.edu.cn</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信访地址：</w:t>
      </w:r>
      <w:r>
        <w:rPr>
          <w:rFonts w:hint="eastAsia" w:ascii="仿宋" w:hAnsi="仿宋" w:eastAsia="仿宋" w:cs="仿宋"/>
          <w:sz w:val="28"/>
          <w:szCs w:val="28"/>
          <w:lang w:eastAsia="zh-CN"/>
        </w:rPr>
        <w:t>大连理工大学研教楼</w:t>
      </w:r>
      <w:r>
        <w:rPr>
          <w:rFonts w:hint="eastAsia" w:ascii="仿宋" w:hAnsi="仿宋" w:eastAsia="仿宋" w:cs="仿宋"/>
          <w:sz w:val="28"/>
          <w:szCs w:val="28"/>
          <w:lang w:val="en-US" w:eastAsia="zh-CN"/>
        </w:rPr>
        <w:t>726室</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黑体" w:hAnsi="黑体" w:eastAsia="黑体" w:cs="黑体"/>
          <w:b/>
          <w:sz w:val="28"/>
          <w:szCs w:val="28"/>
          <w:lang w:eastAsia="zh-CN"/>
        </w:rPr>
      </w:pPr>
      <w:r>
        <w:rPr>
          <w:rFonts w:hint="eastAsia" w:ascii="黑体" w:hAnsi="黑体" w:eastAsia="黑体" w:cs="黑体"/>
          <w:b/>
          <w:sz w:val="28"/>
          <w:szCs w:val="28"/>
          <w:lang w:val="en-US" w:eastAsia="zh-CN"/>
        </w:rPr>
        <w:t>八</w:t>
      </w:r>
      <w:r>
        <w:rPr>
          <w:rFonts w:hint="eastAsia" w:ascii="黑体" w:hAnsi="黑体" w:eastAsia="黑体" w:cs="黑体"/>
          <w:b/>
          <w:sz w:val="28"/>
          <w:szCs w:val="28"/>
        </w:rPr>
        <w:t>、</w:t>
      </w:r>
      <w:r>
        <w:rPr>
          <w:rFonts w:hint="eastAsia" w:ascii="黑体" w:hAnsi="黑体" w:eastAsia="黑体" w:cs="黑体"/>
          <w:b/>
          <w:sz w:val="28"/>
          <w:szCs w:val="28"/>
          <w:lang w:eastAsia="zh-CN"/>
        </w:rPr>
        <w:t>其他</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1.对于因经济条件限制不具备网络远程复试条件的考生，经考生申请，我校核实后可提供合理资助。有需要的考生须于</w:t>
      </w:r>
      <w:r>
        <w:rPr>
          <w:rFonts w:hint="eastAsia" w:ascii="仿宋" w:hAnsi="仿宋" w:eastAsia="仿宋" w:cs="仿宋"/>
          <w:sz w:val="28"/>
          <w:szCs w:val="28"/>
          <w:lang w:val="en-US" w:eastAsia="zh-CN"/>
        </w:rPr>
        <w:t>5</w:t>
      </w:r>
      <w:r>
        <w:rPr>
          <w:rFonts w:hint="eastAsia" w:ascii="仿宋" w:hAnsi="仿宋" w:eastAsia="仿宋" w:cs="仿宋"/>
          <w:sz w:val="28"/>
          <w:szCs w:val="28"/>
        </w:rPr>
        <w:t>月</w:t>
      </w:r>
      <w:r>
        <w:rPr>
          <w:rFonts w:hint="eastAsia" w:ascii="仿宋" w:hAnsi="仿宋" w:eastAsia="仿宋" w:cs="仿宋"/>
          <w:sz w:val="28"/>
          <w:szCs w:val="28"/>
          <w:lang w:val="en-US" w:eastAsia="zh-CN"/>
        </w:rPr>
        <w:t>4日</w:t>
      </w:r>
      <w:r>
        <w:rPr>
          <w:rFonts w:hint="eastAsia" w:ascii="仿宋" w:hAnsi="仿宋" w:eastAsia="仿宋" w:cs="仿宋"/>
          <w:sz w:val="28"/>
          <w:szCs w:val="28"/>
        </w:rPr>
        <w:t>前将申请书和生源地街道（乡镇）级民政部门开具的家庭经济困难证明的扫描件或照片发送至liuyihang@dlut.edu.cn。如有其它不可抗力致考生无法参加网络远程复试，请于</w:t>
      </w:r>
      <w:r>
        <w:rPr>
          <w:rFonts w:hint="eastAsia" w:ascii="仿宋" w:hAnsi="仿宋" w:eastAsia="仿宋" w:cs="仿宋"/>
          <w:sz w:val="28"/>
          <w:szCs w:val="28"/>
          <w:lang w:val="en-US" w:eastAsia="zh-CN"/>
        </w:rPr>
        <w:t>5</w:t>
      </w:r>
      <w:r>
        <w:rPr>
          <w:rFonts w:hint="eastAsia" w:ascii="仿宋" w:hAnsi="仿宋" w:eastAsia="仿宋" w:cs="仿宋"/>
          <w:sz w:val="28"/>
          <w:szCs w:val="28"/>
        </w:rPr>
        <w:t>月</w:t>
      </w:r>
      <w:r>
        <w:rPr>
          <w:rFonts w:hint="eastAsia" w:ascii="仿宋" w:hAnsi="仿宋" w:eastAsia="仿宋" w:cs="仿宋"/>
          <w:sz w:val="28"/>
          <w:szCs w:val="28"/>
          <w:lang w:val="en-US" w:eastAsia="zh-CN"/>
        </w:rPr>
        <w:t>4</w:t>
      </w:r>
      <w:r>
        <w:rPr>
          <w:rFonts w:hint="eastAsia" w:ascii="仿宋" w:hAnsi="仿宋" w:eastAsia="仿宋" w:cs="仿宋"/>
          <w:sz w:val="28"/>
          <w:szCs w:val="28"/>
        </w:rPr>
        <w:t>日前将申请书及相关证明材料的扫描件或照片发送至liuyihang@dlut.edu.cn,学校将根据实际情况为考生提供合理便利。逾期未收到申请将视为具备参加网络远程复试条件。</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2.依据《招生管理规定》，如网络远程复试中出现突发状况，</w:t>
      </w:r>
      <w:r>
        <w:rPr>
          <w:rFonts w:hint="eastAsia" w:ascii="仿宋" w:hAnsi="仿宋" w:eastAsia="仿宋" w:cs="仿宋"/>
          <w:sz w:val="28"/>
          <w:szCs w:val="28"/>
          <w:lang w:val="en-US" w:eastAsia="zh-CN"/>
        </w:rPr>
        <w:t>学院</w:t>
      </w:r>
      <w:r>
        <w:rPr>
          <w:rFonts w:hint="eastAsia" w:ascii="仿宋" w:hAnsi="仿宋" w:eastAsia="仿宋" w:cs="仿宋"/>
          <w:sz w:val="28"/>
          <w:szCs w:val="28"/>
        </w:rPr>
        <w:t>认为有必要时可对相关考生再次复试。</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3.复试期间发现考生不符合报考规定条件、政治思想道德及身心健康状况不符合录取要求的，一律视为不合格，不予录取。</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4.考生本人须签写《诚信复试承诺书》，承诺所提交全部材料真实和复试过程诚实守信。</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5.在复试过程中存在违规行为的考生，一经查实，即按照《国家教育考试违规处理办法》、《普通高等学校招生违规行为处理暂行办法》等规定严肃处理，取消录取资格，记入《考生考试诚信档案》。</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、复试过程中，如果上级部门出台新的政策，我</w:t>
      </w:r>
      <w:r>
        <w:rPr>
          <w:rFonts w:hint="eastAsia" w:ascii="仿宋" w:hAnsi="仿宋" w:eastAsia="仿宋" w:cs="仿宋"/>
          <w:sz w:val="28"/>
          <w:szCs w:val="28"/>
          <w:lang w:eastAsia="zh-CN"/>
        </w:rPr>
        <w:t>院</w:t>
      </w:r>
      <w:r>
        <w:rPr>
          <w:rFonts w:hint="eastAsia" w:ascii="仿宋" w:hAnsi="仿宋" w:eastAsia="仿宋" w:cs="仿宋"/>
          <w:sz w:val="28"/>
          <w:szCs w:val="28"/>
        </w:rPr>
        <w:t>将做相应调整。</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7.其他未尽事宜参照《大连理工大学2020年全国硕士研究生招生考试复试录取工作方案》。</w:t>
      </w:r>
    </w:p>
    <w:p>
      <w:pPr>
        <w:keepNext w:val="0"/>
        <w:keepLines w:val="0"/>
        <w:pageBreakBefore w:val="0"/>
        <w:widowControl w:val="0"/>
        <w:kinsoku/>
        <w:wordWrap/>
        <w:overflowPunct/>
        <w:topLinePunct w:val="0"/>
        <w:autoSpaceDE/>
        <w:autoSpaceDN/>
        <w:bidi w:val="0"/>
        <w:spacing w:line="240" w:lineRule="auto"/>
        <w:ind w:firstLine="562" w:firstLineChars="200"/>
        <w:textAlignment w:val="auto"/>
        <w:rPr>
          <w:rFonts w:hint="eastAsia" w:ascii="黑体" w:hAnsi="黑体" w:eastAsia="黑体" w:cs="黑体"/>
          <w:b/>
          <w:sz w:val="28"/>
          <w:szCs w:val="28"/>
        </w:rPr>
      </w:pPr>
      <w:r>
        <w:rPr>
          <w:rFonts w:hint="eastAsia" w:ascii="黑体" w:hAnsi="黑体" w:eastAsia="黑体" w:cs="黑体"/>
          <w:b/>
          <w:sz w:val="28"/>
          <w:szCs w:val="28"/>
          <w:lang w:val="en-US" w:eastAsia="zh-CN"/>
        </w:rPr>
        <w:t>九</w:t>
      </w:r>
      <w:r>
        <w:rPr>
          <w:rFonts w:hint="eastAsia" w:ascii="黑体" w:hAnsi="黑体" w:eastAsia="黑体" w:cs="黑体"/>
          <w:b/>
          <w:sz w:val="28"/>
          <w:szCs w:val="28"/>
        </w:rPr>
        <w:t>、联系方式</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联系人：</w:t>
      </w:r>
      <w:r>
        <w:rPr>
          <w:rFonts w:hint="eastAsia" w:ascii="仿宋" w:hAnsi="仿宋" w:eastAsia="仿宋" w:cs="仿宋"/>
          <w:sz w:val="28"/>
          <w:szCs w:val="28"/>
          <w:lang w:eastAsia="zh-CN"/>
        </w:rPr>
        <w:t>冯老师</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0411-84706634</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联系邮箱：fengyl@dlut.edu.cn</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00C"/>
    <w:rsid w:val="000F4249"/>
    <w:rsid w:val="00102BE6"/>
    <w:rsid w:val="00172A27"/>
    <w:rsid w:val="001B46FE"/>
    <w:rsid w:val="001F65B3"/>
    <w:rsid w:val="0022265A"/>
    <w:rsid w:val="003762D3"/>
    <w:rsid w:val="003C00DE"/>
    <w:rsid w:val="003E34DE"/>
    <w:rsid w:val="0042683D"/>
    <w:rsid w:val="00476C15"/>
    <w:rsid w:val="004A1060"/>
    <w:rsid w:val="004F72C5"/>
    <w:rsid w:val="0053020C"/>
    <w:rsid w:val="00580F73"/>
    <w:rsid w:val="005E6396"/>
    <w:rsid w:val="00655FC4"/>
    <w:rsid w:val="006C4A0A"/>
    <w:rsid w:val="006C6249"/>
    <w:rsid w:val="00715821"/>
    <w:rsid w:val="007758E5"/>
    <w:rsid w:val="007929B4"/>
    <w:rsid w:val="007C6C1B"/>
    <w:rsid w:val="008F2021"/>
    <w:rsid w:val="00922816"/>
    <w:rsid w:val="00980183"/>
    <w:rsid w:val="00994A84"/>
    <w:rsid w:val="009970B8"/>
    <w:rsid w:val="009B0511"/>
    <w:rsid w:val="009C382D"/>
    <w:rsid w:val="00A00876"/>
    <w:rsid w:val="00A91522"/>
    <w:rsid w:val="00AE7A5E"/>
    <w:rsid w:val="00C24697"/>
    <w:rsid w:val="00CA7D67"/>
    <w:rsid w:val="00D41528"/>
    <w:rsid w:val="00DE1AAC"/>
    <w:rsid w:val="00DF60A6"/>
    <w:rsid w:val="00E80353"/>
    <w:rsid w:val="00F45912"/>
    <w:rsid w:val="00FA4F71"/>
    <w:rsid w:val="00FA5AF0"/>
    <w:rsid w:val="04C20CBB"/>
    <w:rsid w:val="07A24F5D"/>
    <w:rsid w:val="07E51A24"/>
    <w:rsid w:val="0B435B0E"/>
    <w:rsid w:val="0BBA7E7F"/>
    <w:rsid w:val="11CE29BD"/>
    <w:rsid w:val="18103D4E"/>
    <w:rsid w:val="19E77CDA"/>
    <w:rsid w:val="1B416BB9"/>
    <w:rsid w:val="1B5C3808"/>
    <w:rsid w:val="1CBE5192"/>
    <w:rsid w:val="1D8B1F9B"/>
    <w:rsid w:val="1DCC1930"/>
    <w:rsid w:val="1E51435C"/>
    <w:rsid w:val="23447629"/>
    <w:rsid w:val="23762D33"/>
    <w:rsid w:val="23E51ADA"/>
    <w:rsid w:val="271C36A4"/>
    <w:rsid w:val="2B7B7177"/>
    <w:rsid w:val="2BBD1893"/>
    <w:rsid w:val="2BC44C46"/>
    <w:rsid w:val="31CC14FC"/>
    <w:rsid w:val="32037407"/>
    <w:rsid w:val="32130EA4"/>
    <w:rsid w:val="32612C6F"/>
    <w:rsid w:val="32890B95"/>
    <w:rsid w:val="350073A1"/>
    <w:rsid w:val="3BAC0C78"/>
    <w:rsid w:val="3D31472A"/>
    <w:rsid w:val="406B08BE"/>
    <w:rsid w:val="42A46D1E"/>
    <w:rsid w:val="46395CE9"/>
    <w:rsid w:val="4C3E08B2"/>
    <w:rsid w:val="4E4F420F"/>
    <w:rsid w:val="4EEE5EB3"/>
    <w:rsid w:val="502703E1"/>
    <w:rsid w:val="53B91AAB"/>
    <w:rsid w:val="57D32658"/>
    <w:rsid w:val="5A5C4770"/>
    <w:rsid w:val="627F1E8A"/>
    <w:rsid w:val="635D46B2"/>
    <w:rsid w:val="6E5A35E6"/>
    <w:rsid w:val="6F270F9A"/>
    <w:rsid w:val="7EB36353"/>
    <w:rsid w:val="7F1A5F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0"/>
    <w:rPr>
      <w:color w:val="0000FF"/>
      <w:u w:val="single"/>
    </w:rPr>
  </w:style>
  <w:style w:type="character" w:customStyle="1" w:styleId="9">
    <w:name w:val="页眉 字符"/>
    <w:basedOn w:val="7"/>
    <w:link w:val="3"/>
    <w:qFormat/>
    <w:uiPriority w:val="0"/>
    <w:rPr>
      <w:rFonts w:asciiTheme="minorHAnsi" w:hAnsiTheme="minorHAnsi" w:eastAsiaTheme="minorEastAsia" w:cstheme="minorBidi"/>
      <w:kern w:val="2"/>
      <w:sz w:val="18"/>
      <w:szCs w:val="18"/>
    </w:rPr>
  </w:style>
  <w:style w:type="character" w:customStyle="1" w:styleId="10">
    <w:name w:val="页脚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336</Words>
  <Characters>1918</Characters>
  <Lines>15</Lines>
  <Paragraphs>4</Paragraphs>
  <TotalTime>53</TotalTime>
  <ScaleCrop>false</ScaleCrop>
  <LinksUpToDate>false</LinksUpToDate>
  <CharactersWithSpaces>2250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2019-03-11T06:34:00Z</dcterms:created>
  <dc:creator>610</dc:creator>
  <cp:lastModifiedBy>Administrator</cp:lastModifiedBy>
  <dcterms:modified xsi:type="dcterms:W3CDTF">2020-04-29T01:01:12Z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