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3B8DD" w14:textId="77777777" w:rsidR="00CA5DF5" w:rsidRDefault="00880A6E">
      <w:pPr>
        <w:pStyle w:val="3"/>
        <w:keepNext w:val="0"/>
        <w:keepLines w:val="0"/>
        <w:spacing w:before="156" w:afterLines="50" w:after="156" w:line="300" w:lineRule="auto"/>
        <w:jc w:val="center"/>
        <w:rPr>
          <w:rFonts w:ascii="Times New Roman" w:eastAsia="黑体" w:hAnsi="Times New Roman"/>
          <w:sz w:val="24"/>
          <w:szCs w:val="24"/>
        </w:rPr>
      </w:pPr>
      <w:r>
        <w:rPr>
          <w:rFonts w:ascii="Times New Roman" w:eastAsia="黑体" w:hAnsi="Times New Roman" w:hint="eastAsia"/>
          <w:sz w:val="24"/>
          <w:szCs w:val="24"/>
        </w:rPr>
        <w:t>生物学院学生综合评价体系实施细则</w:t>
      </w:r>
    </w:p>
    <w:p w14:paraId="6997BFCA" w14:textId="0EE75FB1" w:rsidR="00CA5DF5" w:rsidRDefault="00880A6E">
      <w:pPr>
        <w:pStyle w:val="3"/>
        <w:keepNext w:val="0"/>
        <w:keepLines w:val="0"/>
        <w:spacing w:before="156" w:afterLines="50" w:after="156" w:line="300" w:lineRule="auto"/>
        <w:jc w:val="center"/>
        <w:rPr>
          <w:rFonts w:ascii="Times New Roman" w:eastAsia="黑体" w:hAnsi="Times New Roman"/>
          <w:sz w:val="22"/>
          <w:szCs w:val="24"/>
        </w:rPr>
      </w:pPr>
      <w:r>
        <w:rPr>
          <w:rFonts w:ascii="Times New Roman" w:eastAsia="黑体" w:hAnsi="Times New Roman" w:hint="eastAsia"/>
          <w:sz w:val="22"/>
          <w:szCs w:val="24"/>
        </w:rPr>
        <w:t>（</w:t>
      </w:r>
      <w:r>
        <w:rPr>
          <w:rFonts w:ascii="Times New Roman" w:eastAsia="黑体" w:hAnsi="Times New Roman" w:hint="eastAsia"/>
          <w:sz w:val="22"/>
          <w:szCs w:val="24"/>
        </w:rPr>
        <w:t>201</w:t>
      </w:r>
      <w:r>
        <w:rPr>
          <w:rFonts w:ascii="Times New Roman" w:eastAsia="黑体" w:hAnsi="Times New Roman"/>
          <w:sz w:val="22"/>
          <w:szCs w:val="24"/>
        </w:rPr>
        <w:t>9</w:t>
      </w:r>
      <w:r>
        <w:rPr>
          <w:rFonts w:ascii="Times New Roman" w:eastAsia="黑体" w:hAnsi="Times New Roman" w:hint="eastAsia"/>
          <w:sz w:val="22"/>
          <w:szCs w:val="24"/>
        </w:rPr>
        <w:t>年</w:t>
      </w:r>
      <w:r w:rsidR="00D703C8">
        <w:rPr>
          <w:rFonts w:ascii="Times New Roman" w:eastAsia="黑体" w:hAnsi="Times New Roman" w:hint="eastAsia"/>
          <w:sz w:val="22"/>
          <w:szCs w:val="24"/>
        </w:rPr>
        <w:t>修订</w:t>
      </w:r>
      <w:bookmarkStart w:id="0" w:name="_GoBack"/>
      <w:bookmarkEnd w:id="0"/>
      <w:r>
        <w:rPr>
          <w:rFonts w:ascii="Times New Roman" w:eastAsia="黑体" w:hAnsi="Times New Roman" w:hint="eastAsia"/>
          <w:sz w:val="22"/>
          <w:szCs w:val="24"/>
        </w:rPr>
        <w:t>版）</w:t>
      </w:r>
    </w:p>
    <w:p w14:paraId="7DA5897D" w14:textId="77777777" w:rsidR="00CA5DF5" w:rsidRDefault="00880A6E">
      <w:pPr>
        <w:spacing w:beforeLines="0" w:line="300" w:lineRule="auto"/>
        <w:ind w:firstLineChars="152" w:firstLine="319"/>
        <w:rPr>
          <w:rFonts w:ascii="楷体_GB2312" w:eastAsia="楷体_GB2312" w:hAnsi="华文楷体" w:cs="宋体"/>
          <w:kern w:val="0"/>
          <w:szCs w:val="21"/>
        </w:rPr>
      </w:pPr>
      <w:r>
        <w:rPr>
          <w:rFonts w:ascii="楷体_GB2312" w:eastAsia="楷体_GB2312" w:hAnsi="华文楷体" w:cs="宋体" w:hint="eastAsia"/>
          <w:kern w:val="0"/>
          <w:szCs w:val="21"/>
        </w:rPr>
        <w:t>为了全面贯彻党的教育方针，充分调动和发挥学生的主动性和创造性，促进学生德、智、体全面发展，根据学校相关规定，结合学院实际情况，制定本实施细则。</w:t>
      </w:r>
    </w:p>
    <w:p w14:paraId="529869D5" w14:textId="77777777" w:rsidR="00CA5DF5" w:rsidRDefault="00880A6E">
      <w:pPr>
        <w:spacing w:beforeLines="0" w:line="300" w:lineRule="auto"/>
        <w:ind w:firstLineChars="196" w:firstLine="413"/>
        <w:rPr>
          <w:rFonts w:ascii="楷体_GB2312" w:eastAsia="楷体_GB2312" w:cs="宋体"/>
          <w:b/>
          <w:kern w:val="0"/>
          <w:szCs w:val="21"/>
        </w:rPr>
      </w:pPr>
      <w:r>
        <w:rPr>
          <w:rFonts w:ascii="楷体_GB2312" w:eastAsia="楷体_GB2312" w:hAnsi="宋体" w:cs="宋体" w:hint="eastAsia"/>
          <w:b/>
          <w:kern w:val="0"/>
          <w:szCs w:val="21"/>
        </w:rPr>
        <w:t>一、基本原则</w:t>
      </w:r>
    </w:p>
    <w:p w14:paraId="3C210019" w14:textId="77777777" w:rsidR="00CA5DF5" w:rsidRDefault="00880A6E">
      <w:pPr>
        <w:spacing w:beforeLines="0" w:line="300" w:lineRule="auto"/>
        <w:ind w:firstLineChars="200" w:firstLine="420"/>
        <w:rPr>
          <w:rFonts w:ascii="楷体_GB2312" w:eastAsia="楷体_GB2312" w:hAnsi="华文楷体" w:cs="宋体"/>
          <w:kern w:val="0"/>
          <w:szCs w:val="21"/>
        </w:rPr>
      </w:pPr>
      <w:r>
        <w:rPr>
          <w:rFonts w:ascii="楷体_GB2312" w:eastAsia="楷体_GB2312" w:hAnsi="华文楷体" w:cs="宋体" w:hint="eastAsia"/>
          <w:kern w:val="0"/>
          <w:szCs w:val="21"/>
        </w:rPr>
        <w:t>1．建立德、智、科、能四元制学生综合评价体系，对学生思想品行（德）、学业成绩（智）、科技创新与学科竞赛（科）、社会实践与文体活动（能）各目标要素进行全面、客观、综合评价。</w:t>
      </w:r>
    </w:p>
    <w:p w14:paraId="590D9240" w14:textId="77777777" w:rsidR="00CA5DF5" w:rsidRDefault="00880A6E">
      <w:pPr>
        <w:spacing w:beforeLines="0" w:line="300" w:lineRule="auto"/>
        <w:ind w:firstLineChars="200" w:firstLine="420"/>
        <w:rPr>
          <w:rFonts w:ascii="楷体_GB2312" w:eastAsia="楷体_GB2312" w:hAnsi="华文楷体" w:cs="宋体"/>
          <w:kern w:val="0"/>
          <w:szCs w:val="21"/>
        </w:rPr>
      </w:pPr>
      <w:r>
        <w:rPr>
          <w:rFonts w:ascii="楷体_GB2312" w:eastAsia="楷体_GB2312" w:hAnsi="华文楷体" w:cs="宋体" w:hint="eastAsia"/>
          <w:kern w:val="0"/>
          <w:szCs w:val="21"/>
        </w:rPr>
        <w:t>2．采用基准分与加减分相结合的模式对学生德、智、科、能分别进行评价。基准分为学生各项的基础达标要求；加减分重点体现导向作用，引导学生全面发展。</w:t>
      </w:r>
    </w:p>
    <w:p w14:paraId="78B092EA" w14:textId="77777777" w:rsidR="00CA5DF5" w:rsidRDefault="00880A6E">
      <w:pPr>
        <w:spacing w:beforeLines="0" w:line="300" w:lineRule="auto"/>
        <w:ind w:firstLineChars="200" w:firstLine="420"/>
        <w:rPr>
          <w:rFonts w:ascii="楷体_GB2312" w:eastAsia="楷体_GB2312" w:hAnsi="华文楷体" w:cs="宋体"/>
          <w:kern w:val="0"/>
          <w:szCs w:val="21"/>
        </w:rPr>
      </w:pPr>
      <w:r>
        <w:rPr>
          <w:rFonts w:ascii="楷体_GB2312" w:eastAsia="楷体_GB2312" w:hAnsi="华文楷体" w:cs="宋体" w:hint="eastAsia"/>
          <w:kern w:val="0"/>
          <w:szCs w:val="21"/>
        </w:rPr>
        <w:t>3．根据奖学金评定、理科基地滚动、推荐免试研究生等不同测评需要，对四元评价目标赋予相应的权重，作为综合测评、排名依据。</w:t>
      </w:r>
    </w:p>
    <w:tbl>
      <w:tblPr>
        <w:tblStyle w:val="ae"/>
        <w:tblW w:w="8267" w:type="dxa"/>
        <w:jc w:val="center"/>
        <w:tblLayout w:type="fixed"/>
        <w:tblLook w:val="04A0" w:firstRow="1" w:lastRow="0" w:firstColumn="1" w:lastColumn="0" w:noHBand="0" w:noVBand="1"/>
      </w:tblPr>
      <w:tblGrid>
        <w:gridCol w:w="853"/>
        <w:gridCol w:w="1101"/>
        <w:gridCol w:w="1583"/>
        <w:gridCol w:w="1294"/>
        <w:gridCol w:w="3436"/>
      </w:tblGrid>
      <w:tr w:rsidR="00CA5DF5" w14:paraId="03CB6E9D" w14:textId="77777777">
        <w:trPr>
          <w:trHeight w:hRule="exact" w:val="423"/>
          <w:jc w:val="center"/>
        </w:trPr>
        <w:tc>
          <w:tcPr>
            <w:tcW w:w="853" w:type="dxa"/>
          </w:tcPr>
          <w:p w14:paraId="290109E7"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类别</w:t>
            </w:r>
          </w:p>
        </w:tc>
        <w:tc>
          <w:tcPr>
            <w:tcW w:w="1101" w:type="dxa"/>
          </w:tcPr>
          <w:p w14:paraId="27E5B62A"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综合测评</w:t>
            </w:r>
          </w:p>
        </w:tc>
        <w:tc>
          <w:tcPr>
            <w:tcW w:w="1583" w:type="dxa"/>
          </w:tcPr>
          <w:p w14:paraId="328A3B88"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理科基地滚动</w:t>
            </w:r>
          </w:p>
        </w:tc>
        <w:tc>
          <w:tcPr>
            <w:tcW w:w="1294" w:type="dxa"/>
          </w:tcPr>
          <w:p w14:paraId="7C1A94D0"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免试推荐</w:t>
            </w:r>
          </w:p>
        </w:tc>
        <w:tc>
          <w:tcPr>
            <w:tcW w:w="3436" w:type="dxa"/>
          </w:tcPr>
          <w:p w14:paraId="22CBE98C"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备注</w:t>
            </w:r>
          </w:p>
        </w:tc>
      </w:tr>
      <w:tr w:rsidR="00CA5DF5" w14:paraId="139343DF" w14:textId="77777777">
        <w:trPr>
          <w:trHeight w:hRule="exact" w:val="423"/>
          <w:jc w:val="center"/>
        </w:trPr>
        <w:tc>
          <w:tcPr>
            <w:tcW w:w="853" w:type="dxa"/>
          </w:tcPr>
          <w:p w14:paraId="2E5F2CD7"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德</w:t>
            </w:r>
          </w:p>
        </w:tc>
        <w:tc>
          <w:tcPr>
            <w:tcW w:w="1101" w:type="dxa"/>
          </w:tcPr>
          <w:p w14:paraId="1448099A"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10%</w:t>
            </w:r>
          </w:p>
        </w:tc>
        <w:tc>
          <w:tcPr>
            <w:tcW w:w="1583" w:type="dxa"/>
          </w:tcPr>
          <w:p w14:paraId="2AA51617"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10%</w:t>
            </w:r>
          </w:p>
        </w:tc>
        <w:tc>
          <w:tcPr>
            <w:tcW w:w="1294" w:type="dxa"/>
          </w:tcPr>
          <w:p w14:paraId="1A4D2C3A"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10%</w:t>
            </w:r>
          </w:p>
        </w:tc>
        <w:tc>
          <w:tcPr>
            <w:tcW w:w="3436" w:type="dxa"/>
            <w:vMerge w:val="restart"/>
          </w:tcPr>
          <w:p w14:paraId="1DA66592" w14:textId="77777777" w:rsidR="00CA5DF5" w:rsidRDefault="00880A6E">
            <w:pPr>
              <w:spacing w:beforeLines="0" w:line="300" w:lineRule="auto"/>
              <w:jc w:val="center"/>
              <w:rPr>
                <w:rFonts w:ascii="楷体_GB2312" w:eastAsia="楷体_GB2312" w:hAnsi="华文楷体" w:cs="宋体"/>
                <w:bCs/>
                <w:kern w:val="0"/>
                <w:szCs w:val="21"/>
              </w:rPr>
            </w:pPr>
            <w:r>
              <w:rPr>
                <w:rFonts w:ascii="楷体_GB2312" w:eastAsia="楷体_GB2312" w:hAnsi="华文楷体" w:cs="宋体" w:hint="eastAsia"/>
                <w:bCs/>
                <w:kern w:val="0"/>
                <w:szCs w:val="21"/>
              </w:rPr>
              <w:t>理科基地滚动和推荐免试排名为当前累计排名，综合测评排名为当年度的排名。</w:t>
            </w:r>
          </w:p>
        </w:tc>
      </w:tr>
      <w:tr w:rsidR="00CA5DF5" w14:paraId="777E6E9B" w14:textId="77777777">
        <w:trPr>
          <w:trHeight w:hRule="exact" w:val="423"/>
          <w:jc w:val="center"/>
        </w:trPr>
        <w:tc>
          <w:tcPr>
            <w:tcW w:w="853" w:type="dxa"/>
          </w:tcPr>
          <w:p w14:paraId="139F6D79"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智</w:t>
            </w:r>
          </w:p>
        </w:tc>
        <w:tc>
          <w:tcPr>
            <w:tcW w:w="1101" w:type="dxa"/>
          </w:tcPr>
          <w:p w14:paraId="66377BEB"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70%</w:t>
            </w:r>
          </w:p>
        </w:tc>
        <w:tc>
          <w:tcPr>
            <w:tcW w:w="1583" w:type="dxa"/>
          </w:tcPr>
          <w:p w14:paraId="7999D2B7"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70%</w:t>
            </w:r>
          </w:p>
        </w:tc>
        <w:tc>
          <w:tcPr>
            <w:tcW w:w="1294" w:type="dxa"/>
          </w:tcPr>
          <w:p w14:paraId="1D35A959"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70%</w:t>
            </w:r>
          </w:p>
        </w:tc>
        <w:tc>
          <w:tcPr>
            <w:tcW w:w="3436" w:type="dxa"/>
            <w:vMerge/>
          </w:tcPr>
          <w:p w14:paraId="2EAE8058" w14:textId="77777777" w:rsidR="00CA5DF5" w:rsidRDefault="00CA5DF5">
            <w:pPr>
              <w:spacing w:beforeLines="0" w:line="300" w:lineRule="auto"/>
              <w:ind w:firstLineChars="200" w:firstLine="420"/>
              <w:jc w:val="center"/>
              <w:rPr>
                <w:rFonts w:ascii="楷体_GB2312" w:eastAsia="楷体_GB2312" w:hAnsi="华文楷体" w:cs="宋体"/>
                <w:kern w:val="0"/>
                <w:szCs w:val="21"/>
              </w:rPr>
            </w:pPr>
          </w:p>
        </w:tc>
      </w:tr>
      <w:tr w:rsidR="00CA5DF5" w14:paraId="33E60CC3" w14:textId="77777777">
        <w:trPr>
          <w:trHeight w:hRule="exact" w:val="423"/>
          <w:jc w:val="center"/>
        </w:trPr>
        <w:tc>
          <w:tcPr>
            <w:tcW w:w="853" w:type="dxa"/>
          </w:tcPr>
          <w:p w14:paraId="48662AD1"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科</w:t>
            </w:r>
          </w:p>
        </w:tc>
        <w:tc>
          <w:tcPr>
            <w:tcW w:w="1101" w:type="dxa"/>
          </w:tcPr>
          <w:p w14:paraId="12856D2B"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10%</w:t>
            </w:r>
          </w:p>
        </w:tc>
        <w:tc>
          <w:tcPr>
            <w:tcW w:w="1583" w:type="dxa"/>
          </w:tcPr>
          <w:p w14:paraId="23B9CAE9"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15%</w:t>
            </w:r>
          </w:p>
        </w:tc>
        <w:tc>
          <w:tcPr>
            <w:tcW w:w="1294" w:type="dxa"/>
          </w:tcPr>
          <w:p w14:paraId="29AA20A4"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15%</w:t>
            </w:r>
          </w:p>
        </w:tc>
        <w:tc>
          <w:tcPr>
            <w:tcW w:w="3436" w:type="dxa"/>
            <w:vMerge/>
          </w:tcPr>
          <w:p w14:paraId="7EB2FECD" w14:textId="77777777" w:rsidR="00CA5DF5" w:rsidRDefault="00CA5DF5">
            <w:pPr>
              <w:spacing w:beforeLines="0" w:line="300" w:lineRule="auto"/>
              <w:ind w:firstLineChars="200" w:firstLine="420"/>
              <w:jc w:val="center"/>
              <w:rPr>
                <w:rFonts w:ascii="楷体_GB2312" w:eastAsia="楷体_GB2312" w:hAnsi="华文楷体" w:cs="宋体"/>
                <w:kern w:val="0"/>
                <w:szCs w:val="21"/>
              </w:rPr>
            </w:pPr>
          </w:p>
        </w:tc>
      </w:tr>
      <w:tr w:rsidR="00CA5DF5" w14:paraId="73B9D715" w14:textId="77777777">
        <w:trPr>
          <w:trHeight w:hRule="exact" w:val="423"/>
          <w:jc w:val="center"/>
        </w:trPr>
        <w:tc>
          <w:tcPr>
            <w:tcW w:w="853" w:type="dxa"/>
          </w:tcPr>
          <w:p w14:paraId="1B846C49"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能</w:t>
            </w:r>
          </w:p>
        </w:tc>
        <w:tc>
          <w:tcPr>
            <w:tcW w:w="1101" w:type="dxa"/>
          </w:tcPr>
          <w:p w14:paraId="423ADF05"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10%</w:t>
            </w:r>
          </w:p>
        </w:tc>
        <w:tc>
          <w:tcPr>
            <w:tcW w:w="1583" w:type="dxa"/>
          </w:tcPr>
          <w:p w14:paraId="678AACFD"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5%</w:t>
            </w:r>
          </w:p>
        </w:tc>
        <w:tc>
          <w:tcPr>
            <w:tcW w:w="1294" w:type="dxa"/>
          </w:tcPr>
          <w:p w14:paraId="4E1B4E82" w14:textId="77777777" w:rsidR="00CA5DF5" w:rsidRDefault="00880A6E">
            <w:pPr>
              <w:spacing w:beforeLines="0" w:line="300" w:lineRule="auto"/>
              <w:jc w:val="center"/>
              <w:rPr>
                <w:rFonts w:ascii="楷体_GB2312" w:eastAsia="楷体_GB2312" w:hAnsi="华文楷体" w:cs="宋体"/>
                <w:kern w:val="0"/>
                <w:szCs w:val="21"/>
              </w:rPr>
            </w:pPr>
            <w:r>
              <w:rPr>
                <w:rFonts w:ascii="楷体_GB2312" w:eastAsia="楷体_GB2312" w:hAnsi="华文楷体" w:cs="宋体" w:hint="eastAsia"/>
                <w:bCs/>
                <w:kern w:val="0"/>
                <w:szCs w:val="21"/>
              </w:rPr>
              <w:t>5%</w:t>
            </w:r>
          </w:p>
        </w:tc>
        <w:tc>
          <w:tcPr>
            <w:tcW w:w="3436" w:type="dxa"/>
            <w:vMerge/>
          </w:tcPr>
          <w:p w14:paraId="089FC0F3" w14:textId="77777777" w:rsidR="00CA5DF5" w:rsidRDefault="00CA5DF5">
            <w:pPr>
              <w:spacing w:beforeLines="0" w:line="300" w:lineRule="auto"/>
              <w:ind w:firstLineChars="200" w:firstLine="420"/>
              <w:jc w:val="center"/>
              <w:rPr>
                <w:rFonts w:ascii="楷体_GB2312" w:eastAsia="楷体_GB2312" w:hAnsi="华文楷体" w:cs="宋体"/>
                <w:kern w:val="0"/>
                <w:szCs w:val="21"/>
              </w:rPr>
            </w:pPr>
          </w:p>
        </w:tc>
      </w:tr>
      <w:tr w:rsidR="00CA5DF5" w14:paraId="4CFF5637" w14:textId="77777777">
        <w:trPr>
          <w:trHeight w:hRule="exact" w:val="423"/>
          <w:jc w:val="center"/>
        </w:trPr>
        <w:tc>
          <w:tcPr>
            <w:tcW w:w="8267" w:type="dxa"/>
            <w:gridSpan w:val="5"/>
          </w:tcPr>
          <w:p w14:paraId="3B7D324C" w14:textId="77777777" w:rsidR="00CA5DF5" w:rsidRDefault="00880A6E">
            <w:pPr>
              <w:numPr>
                <w:ilvl w:val="0"/>
                <w:numId w:val="1"/>
              </w:numPr>
              <w:spacing w:beforeLines="0" w:line="300" w:lineRule="auto"/>
              <w:ind w:firstLineChars="200" w:firstLine="420"/>
              <w:jc w:val="center"/>
              <w:rPr>
                <w:rFonts w:ascii="楷体_GB2312" w:eastAsia="楷体_GB2312" w:hAnsi="华文楷体" w:cs="宋体"/>
                <w:kern w:val="0"/>
                <w:szCs w:val="21"/>
              </w:rPr>
            </w:pPr>
            <w:r>
              <w:rPr>
                <w:rFonts w:ascii="楷体_GB2312" w:eastAsia="楷体_GB2312" w:hAnsi="华文楷体" w:cs="宋体" w:hint="eastAsia"/>
                <w:bCs/>
                <w:kern w:val="0"/>
                <w:szCs w:val="21"/>
              </w:rPr>
              <w:t>根据不同选材依据，给予各测评单元以不同权重</w:t>
            </w:r>
          </w:p>
        </w:tc>
      </w:tr>
    </w:tbl>
    <w:p w14:paraId="7A9B5631" w14:textId="77777777" w:rsidR="00CA5DF5" w:rsidRDefault="00880A6E">
      <w:pPr>
        <w:spacing w:beforeLines="0" w:line="300" w:lineRule="auto"/>
        <w:ind w:firstLineChars="200" w:firstLine="420"/>
        <w:rPr>
          <w:rFonts w:ascii="楷体_GB2312" w:eastAsia="楷体_GB2312" w:hAnsi="华文楷体" w:cs="宋体"/>
          <w:kern w:val="0"/>
          <w:szCs w:val="21"/>
        </w:rPr>
      </w:pPr>
      <w:r>
        <w:rPr>
          <w:rFonts w:ascii="楷体_GB2312" w:eastAsia="楷体_GB2312" w:hAnsi="华文楷体" w:cs="宋体" w:hint="eastAsia"/>
          <w:kern w:val="0"/>
          <w:szCs w:val="21"/>
        </w:rPr>
        <w:t>4．在测评中坚持班级考评和学院考评相结合和公平、公正、公开原则。</w:t>
      </w:r>
    </w:p>
    <w:p w14:paraId="34468A51" w14:textId="77777777" w:rsidR="00CA5DF5" w:rsidRDefault="00880A6E">
      <w:pPr>
        <w:spacing w:beforeLines="0" w:line="300" w:lineRule="auto"/>
        <w:ind w:firstLineChars="200" w:firstLine="420"/>
        <w:rPr>
          <w:rFonts w:ascii="楷体_GB2312" w:eastAsia="楷体_GB2312" w:hAnsi="华文楷体" w:cs="宋体"/>
          <w:kern w:val="0"/>
          <w:szCs w:val="21"/>
        </w:rPr>
      </w:pPr>
      <w:r>
        <w:rPr>
          <w:rFonts w:ascii="楷体_GB2312" w:eastAsia="楷体_GB2312" w:hAnsi="华文楷体" w:cs="宋体" w:hint="eastAsia"/>
          <w:kern w:val="0"/>
          <w:szCs w:val="21"/>
        </w:rPr>
        <w:t>5．本细则适用于生物学院所有在校本科生。</w:t>
      </w:r>
    </w:p>
    <w:p w14:paraId="11350A4A" w14:textId="77777777" w:rsidR="00CA5DF5" w:rsidRDefault="00880A6E">
      <w:pPr>
        <w:spacing w:beforeLines="0" w:line="300" w:lineRule="auto"/>
        <w:ind w:firstLineChars="196" w:firstLine="413"/>
        <w:rPr>
          <w:rFonts w:ascii="楷体_GB2312" w:eastAsia="楷体_GB2312" w:hAnsi="宋体" w:cs="宋体"/>
          <w:b/>
          <w:kern w:val="0"/>
          <w:szCs w:val="21"/>
        </w:rPr>
      </w:pPr>
      <w:r>
        <w:rPr>
          <w:rFonts w:ascii="楷体_GB2312" w:eastAsia="楷体_GB2312" w:hAnsi="宋体" w:cs="宋体" w:hint="eastAsia"/>
          <w:b/>
          <w:kern w:val="0"/>
          <w:szCs w:val="21"/>
        </w:rPr>
        <w:t>二、评价内容和标准</w:t>
      </w:r>
    </w:p>
    <w:p w14:paraId="3AD86996"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生物学院学生综合评价体系采用思想品行（德）、学业成绩（智）、科技创新与学科竞赛（科）、社会实践与文体活动（能）四个目标要素为评价阶元，对学生实行德、智、科、能四元综合评价（附件《生物学院学生综合评价表》），每个评价阶元分制满分为100分，由基准分和加减分两部分组成。</w:t>
      </w:r>
    </w:p>
    <w:p w14:paraId="1B577BE2" w14:textId="77777777" w:rsidR="00CA5DF5" w:rsidRDefault="00880A6E">
      <w:pPr>
        <w:spacing w:beforeLines="0" w:line="300" w:lineRule="auto"/>
        <w:ind w:firstLineChars="196" w:firstLine="412"/>
        <w:rPr>
          <w:rFonts w:ascii="楷体_GB2312" w:eastAsia="楷体_GB2312" w:hAnsi="黑体" w:cs="宋体"/>
          <w:kern w:val="0"/>
          <w:szCs w:val="21"/>
        </w:rPr>
      </w:pPr>
      <w:r>
        <w:rPr>
          <w:rFonts w:ascii="楷体_GB2312" w:eastAsia="楷体_GB2312" w:hAnsi="黑体" w:cs="宋体" w:hint="eastAsia"/>
          <w:kern w:val="0"/>
          <w:szCs w:val="21"/>
        </w:rPr>
        <w:t>1．思想品行评价（满分100分）</w:t>
      </w:r>
    </w:p>
    <w:p w14:paraId="06383F28"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1）基准分：60分。标准：热爱社会主义祖国，遵纪守法，品行端正，举止文明得体，关心集体，主动、积极参加集体活动。身心健康，诚实守信，谦虚谨慎，为人正直，办事公道；敬老爱幼，尊敬师长，团结同学，乐于助人。</w:t>
      </w:r>
    </w:p>
    <w:p w14:paraId="36DBA1E5"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（2）加减分：根据思想品行项加减分项具体要求（附表1）测算，最高加分值使本项分数不超过100分，最大减分值使本项分数不低于0分。</w:t>
      </w:r>
    </w:p>
    <w:p w14:paraId="22DEA928" w14:textId="77777777" w:rsidR="00CA5DF5" w:rsidRDefault="00880A6E">
      <w:pPr>
        <w:spacing w:beforeLines="0" w:line="300" w:lineRule="auto"/>
        <w:ind w:firstLineChars="196" w:firstLine="412"/>
        <w:rPr>
          <w:rFonts w:ascii="楷体_GB2312" w:eastAsia="楷体_GB2312" w:hAnsi="黑体" w:cs="宋体"/>
          <w:kern w:val="0"/>
          <w:szCs w:val="21"/>
        </w:rPr>
      </w:pPr>
      <w:r>
        <w:rPr>
          <w:rFonts w:ascii="楷体_GB2312" w:eastAsia="楷体_GB2312" w:hAnsi="黑体" w:cs="宋体" w:hint="eastAsia"/>
          <w:kern w:val="0"/>
          <w:szCs w:val="21"/>
        </w:rPr>
        <w:t>2．学习成绩评价（满分为100分）</w:t>
      </w:r>
    </w:p>
    <w:p w14:paraId="530C2AA3"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按GPA成绩换算成百分制（学业百分制=GPA成绩×25）。</w:t>
      </w:r>
    </w:p>
    <w:p w14:paraId="14CC9785"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GPA成绩按教务处下发到各班的成绩单为依据进行核算。</w:t>
      </w:r>
    </w:p>
    <w:p w14:paraId="07DD76CD" w14:textId="77777777" w:rsidR="00CA5DF5" w:rsidRDefault="00880A6E">
      <w:pPr>
        <w:spacing w:beforeLines="0" w:line="300" w:lineRule="auto"/>
        <w:ind w:firstLineChars="196" w:firstLine="412"/>
        <w:rPr>
          <w:rFonts w:ascii="楷体_GB2312" w:eastAsia="楷体_GB2312" w:hAnsi="黑体" w:cs="宋体"/>
          <w:kern w:val="0"/>
          <w:szCs w:val="21"/>
        </w:rPr>
      </w:pPr>
      <w:r>
        <w:rPr>
          <w:rFonts w:ascii="楷体_GB2312" w:eastAsia="楷体_GB2312" w:hAnsi="黑体" w:cs="宋体" w:hint="eastAsia"/>
          <w:kern w:val="0"/>
          <w:szCs w:val="21"/>
        </w:rPr>
        <w:lastRenderedPageBreak/>
        <w:t>3．科技创新与学科竞赛（满分为100分）</w:t>
      </w:r>
    </w:p>
    <w:p w14:paraId="562353C3"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（1）基准分：60分。标准：按照培养方案科研训练培养环节要求，完成科研训练取得相应学分者取得基准分60分（三年级以上学生要求，其余年级学生进行综合评价时可直接按照基准分60分对应）。</w:t>
      </w:r>
    </w:p>
    <w:p w14:paraId="24515002"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（2）加减分：参见科研创新与学科竞赛项加减分表（附表2），最高加分值使本项分数不超过100分；最大减分值使本项分数不低于0分。</w:t>
      </w:r>
    </w:p>
    <w:p w14:paraId="5E773358"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kern w:val="0"/>
          <w:szCs w:val="21"/>
        </w:rPr>
        <w:t>4</w:t>
      </w:r>
      <w:r>
        <w:rPr>
          <w:rFonts w:ascii="楷体_GB2312" w:eastAsia="楷体_GB2312" w:hAnsi="华文楷体" w:cs="宋体" w:hint="eastAsia"/>
          <w:kern w:val="0"/>
          <w:szCs w:val="21"/>
        </w:rPr>
        <w:t>．社会实践与文体活动（满分为</w:t>
      </w:r>
      <w:r>
        <w:rPr>
          <w:rFonts w:ascii="楷体_GB2312" w:eastAsia="楷体_GB2312" w:hAnsi="华文楷体" w:cs="宋体"/>
          <w:kern w:val="0"/>
          <w:szCs w:val="21"/>
        </w:rPr>
        <w:t>100</w:t>
      </w:r>
      <w:r>
        <w:rPr>
          <w:rFonts w:ascii="楷体_GB2312" w:eastAsia="楷体_GB2312" w:hAnsi="华文楷体" w:cs="宋体" w:hint="eastAsia"/>
          <w:kern w:val="0"/>
          <w:szCs w:val="21"/>
        </w:rPr>
        <w:t>分）</w:t>
      </w:r>
    </w:p>
    <w:p w14:paraId="1DF98FE9"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w:t>
      </w:r>
      <w:r>
        <w:rPr>
          <w:rFonts w:ascii="楷体_GB2312" w:eastAsia="楷体_GB2312" w:hAnsi="华文楷体" w:cs="宋体"/>
          <w:kern w:val="0"/>
          <w:szCs w:val="21"/>
        </w:rPr>
        <w:t>1</w:t>
      </w:r>
      <w:r>
        <w:rPr>
          <w:rFonts w:ascii="楷体_GB2312" w:eastAsia="楷体_GB2312" w:hAnsi="华文楷体" w:cs="宋体" w:hint="eastAsia"/>
          <w:kern w:val="0"/>
          <w:szCs w:val="21"/>
        </w:rPr>
        <w:t>）基准分：6</w:t>
      </w:r>
      <w:r>
        <w:rPr>
          <w:rFonts w:ascii="楷体_GB2312" w:eastAsia="楷体_GB2312" w:hAnsi="华文楷体" w:cs="宋体"/>
          <w:kern w:val="0"/>
          <w:szCs w:val="21"/>
        </w:rPr>
        <w:t>0</w:t>
      </w:r>
      <w:r>
        <w:rPr>
          <w:rFonts w:ascii="楷体_GB2312" w:eastAsia="楷体_GB2312" w:hAnsi="华文楷体" w:cs="宋体" w:hint="eastAsia"/>
          <w:kern w:val="0"/>
          <w:szCs w:val="21"/>
        </w:rPr>
        <w:t>分。标准：</w:t>
      </w:r>
    </w:p>
    <w:p w14:paraId="0A12A86D" w14:textId="77777777" w:rsidR="00CA5DF5" w:rsidRDefault="00880A6E">
      <w:pPr>
        <w:spacing w:beforeLines="0" w:line="300" w:lineRule="auto"/>
        <w:ind w:leftChars="196" w:left="412"/>
        <w:rPr>
          <w:rFonts w:ascii="楷体_GB2312" w:eastAsia="楷体_GB2312" w:hAnsi="华文楷体" w:cs="宋体"/>
          <w:kern w:val="0"/>
          <w:szCs w:val="21"/>
        </w:rPr>
      </w:pPr>
      <w:r>
        <w:rPr>
          <w:rFonts w:ascii="楷体_GB2312" w:eastAsia="楷体_GB2312" w:hAnsi="华文楷体" w:cs="宋体" w:hint="eastAsia"/>
          <w:kern w:val="0"/>
          <w:szCs w:val="21"/>
        </w:rPr>
        <w:t>a.评选学年（上一自然年5~12月）通过《国家大学生身体综合素质测评》15</w:t>
      </w:r>
      <w:r w:rsidRPr="00333BA5">
        <w:rPr>
          <w:rFonts w:ascii="楷体_GB2312" w:eastAsia="楷体_GB2312" w:hAnsi="华文楷体" w:cs="宋体" w:hint="eastAsia"/>
          <w:kern w:val="0"/>
          <w:szCs w:val="21"/>
        </w:rPr>
        <w:t>分（免测需提供相应学年免测证明，证明有效此项可得分）；</w:t>
      </w:r>
    </w:p>
    <w:p w14:paraId="1C2CB845"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b.评选学年期间参加文体活动1次及以上15分；</w:t>
      </w:r>
    </w:p>
    <w:p w14:paraId="7AA5E5C3"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c.评选学年期间参加文体竞赛1次及以上15分；</w:t>
      </w:r>
    </w:p>
    <w:p w14:paraId="496C5A9B"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d.评选学年期间参加志愿服务满4小时 15分；</w:t>
      </w:r>
    </w:p>
    <w:p w14:paraId="5CDCD462"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e.积极参加学校、学院组织的社会活动和社会实践15分（社会实践取得后持续有效）。</w:t>
      </w:r>
    </w:p>
    <w:p w14:paraId="1ECC98E8"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注：5项中4项达标则获得基准分满分60分，多于60分者按60分计算。其中a项为必选项，未满足此项者在所得基础分的基础上减15分。</w:t>
      </w:r>
    </w:p>
    <w:p w14:paraId="2D4050DF"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w:t>
      </w:r>
      <w:r>
        <w:rPr>
          <w:rFonts w:ascii="楷体_GB2312" w:eastAsia="楷体_GB2312" w:hAnsi="华文楷体" w:cs="宋体"/>
          <w:kern w:val="0"/>
          <w:szCs w:val="21"/>
        </w:rPr>
        <w:t>2</w:t>
      </w:r>
      <w:r>
        <w:rPr>
          <w:rFonts w:ascii="楷体_GB2312" w:eastAsia="楷体_GB2312" w:hAnsi="华文楷体" w:cs="宋体" w:hint="eastAsia"/>
          <w:kern w:val="0"/>
          <w:szCs w:val="21"/>
        </w:rPr>
        <w:t>）加减分：参见社会实践与文体活动项加减分表（附表</w:t>
      </w:r>
      <w:r>
        <w:rPr>
          <w:rFonts w:ascii="楷体_GB2312" w:eastAsia="楷体_GB2312" w:hAnsi="华文楷体" w:cs="宋体"/>
          <w:kern w:val="0"/>
          <w:szCs w:val="21"/>
        </w:rPr>
        <w:t>3</w:t>
      </w:r>
      <w:r>
        <w:rPr>
          <w:rFonts w:ascii="楷体_GB2312" w:eastAsia="楷体_GB2312" w:hAnsi="华文楷体" w:cs="宋体" w:hint="eastAsia"/>
          <w:kern w:val="0"/>
          <w:szCs w:val="21"/>
        </w:rPr>
        <w:t>），最高加分值使本项分数不超过</w:t>
      </w:r>
      <w:r>
        <w:rPr>
          <w:rFonts w:ascii="楷体_GB2312" w:eastAsia="楷体_GB2312" w:hAnsi="华文楷体" w:cs="宋体"/>
          <w:kern w:val="0"/>
          <w:szCs w:val="21"/>
        </w:rPr>
        <w:t>100</w:t>
      </w:r>
      <w:r>
        <w:rPr>
          <w:rFonts w:ascii="楷体_GB2312" w:eastAsia="楷体_GB2312" w:hAnsi="华文楷体" w:cs="宋体" w:hint="eastAsia"/>
          <w:kern w:val="0"/>
          <w:szCs w:val="21"/>
        </w:rPr>
        <w:t>分；最大减分值，使本项分数不低于</w:t>
      </w:r>
      <w:r>
        <w:rPr>
          <w:rFonts w:ascii="楷体_GB2312" w:eastAsia="楷体_GB2312" w:hAnsi="华文楷体" w:cs="宋体"/>
          <w:kern w:val="0"/>
          <w:szCs w:val="21"/>
        </w:rPr>
        <w:t>0</w:t>
      </w:r>
      <w:r>
        <w:rPr>
          <w:rFonts w:ascii="楷体_GB2312" w:eastAsia="楷体_GB2312" w:hAnsi="华文楷体" w:cs="宋体" w:hint="eastAsia"/>
          <w:kern w:val="0"/>
          <w:szCs w:val="21"/>
        </w:rPr>
        <w:t>分。</w:t>
      </w:r>
    </w:p>
    <w:p w14:paraId="176B35D5" w14:textId="77777777" w:rsidR="00CA5DF5" w:rsidRDefault="00880A6E">
      <w:pPr>
        <w:spacing w:beforeLines="0" w:line="300" w:lineRule="auto"/>
        <w:ind w:firstLineChars="196" w:firstLine="413"/>
        <w:rPr>
          <w:rFonts w:ascii="楷体_GB2312" w:eastAsia="楷体_GB2312" w:hAnsi="宋体" w:cs="宋体"/>
          <w:b/>
          <w:kern w:val="0"/>
          <w:szCs w:val="21"/>
        </w:rPr>
      </w:pPr>
      <w:r>
        <w:rPr>
          <w:rFonts w:ascii="楷体_GB2312" w:eastAsia="楷体_GB2312" w:hAnsi="宋体" w:cs="宋体" w:hint="eastAsia"/>
          <w:b/>
          <w:kern w:val="0"/>
          <w:szCs w:val="21"/>
        </w:rPr>
        <w:t>三、附则</w:t>
      </w:r>
    </w:p>
    <w:p w14:paraId="06FCF669"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1．学生综合评价必须坚持实事求是的原则，凡弄虚作假者，取消其在该年度各种评奖评优资格；</w:t>
      </w:r>
    </w:p>
    <w:p w14:paraId="3185DF4E"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2．如同一项目获得多项荣誉（表彰），则只取最高项进行计算；</w:t>
      </w:r>
    </w:p>
    <w:p w14:paraId="77D47FE9"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3．测评时，学生填写《生物学院学生综合评价表》，详细说明加分理由，并须出具相关的证明（证书、文章的复印件或作品），否则视为无效；证明材料到相关单位开具，盖章有效。学院内各学生团体成员到学院分团委开具证明材料。</w:t>
      </w:r>
    </w:p>
    <w:p w14:paraId="2E3BFFE9"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4．测评基准分、加减分根据测评项目不同而异，基地滚动、奖学金综合测评按上一年度实际情况填报；</w:t>
      </w:r>
    </w:p>
    <w:p w14:paraId="4ED567A2"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推荐免试研究生综合测评成绩中：</w:t>
      </w:r>
    </w:p>
    <w:p w14:paraId="6BF59175"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（1）2</w:t>
      </w:r>
      <w:r>
        <w:rPr>
          <w:rFonts w:ascii="楷体_GB2312" w:eastAsia="楷体_GB2312" w:hAnsi="华文楷体" w:cs="宋体"/>
          <w:kern w:val="0"/>
          <w:szCs w:val="21"/>
        </w:rPr>
        <w:t>017</w:t>
      </w:r>
      <w:r>
        <w:rPr>
          <w:rFonts w:ascii="楷体_GB2312" w:eastAsia="楷体_GB2312" w:hAnsi="华文楷体" w:cs="宋体" w:hint="eastAsia"/>
          <w:kern w:val="0"/>
          <w:szCs w:val="21"/>
        </w:rPr>
        <w:t>、2</w:t>
      </w:r>
      <w:r>
        <w:rPr>
          <w:rFonts w:ascii="楷体_GB2312" w:eastAsia="楷体_GB2312" w:hAnsi="华文楷体" w:cs="宋体"/>
          <w:kern w:val="0"/>
          <w:szCs w:val="21"/>
        </w:rPr>
        <w:t>018</w:t>
      </w:r>
      <w:r>
        <w:rPr>
          <w:rFonts w:ascii="楷体_GB2312" w:eastAsia="楷体_GB2312" w:hAnsi="华文楷体" w:cs="宋体" w:hint="eastAsia"/>
          <w:kern w:val="0"/>
          <w:szCs w:val="21"/>
        </w:rPr>
        <w:t>级本科生：思想品行项目（德）以及社会实践与文体活动项目（能）分数按照前三学年小分取平均值计算（计算时只对第三学年的分数核验，前两学年的分数以当年公示为准，不因综测条例的逐年修订而改动）；科技创新与学科竞赛项目（科）按照前三学年累加，根据最新版实施细则计算；</w:t>
      </w:r>
    </w:p>
    <w:p w14:paraId="46DA2D04"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t>（2）自2</w:t>
      </w:r>
      <w:r>
        <w:rPr>
          <w:rFonts w:ascii="楷体_GB2312" w:eastAsia="楷体_GB2312" w:hAnsi="华文楷体" w:cs="宋体"/>
          <w:kern w:val="0"/>
          <w:szCs w:val="21"/>
        </w:rPr>
        <w:t>019</w:t>
      </w:r>
      <w:r>
        <w:rPr>
          <w:rFonts w:ascii="楷体_GB2312" w:eastAsia="楷体_GB2312" w:hAnsi="华文楷体" w:cs="宋体" w:hint="eastAsia"/>
          <w:kern w:val="0"/>
          <w:szCs w:val="21"/>
        </w:rPr>
        <w:t>级本科生起：思想品行项目（德）、科技创新与学科竞赛项目（科）以及社会实践与文体活动项目（能）分数按照前三学年小分取平均值计算（计算时只对第三学年的分数核验，前两学年的分数以当年公示为准，不因综测条例的逐年修订而改动）。</w:t>
      </w:r>
    </w:p>
    <w:p w14:paraId="33F53D8B"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hint="eastAsia"/>
          <w:kern w:val="0"/>
          <w:szCs w:val="21"/>
        </w:rPr>
        <w:lastRenderedPageBreak/>
        <w:t>5.推荐免试研究生综合测评时，对于因转专业等原因导致缺失某一学年综合测评成绩的，应补充提交缺失学年综合测评证明材料，按照现行学生综合评价体系细则计算；对于留级、跳级或其他学制的，应按照此前全部学年得分平均；对于休学、保留学籍等原因导致某一学年综合测评成绩对应两版学生综合评价体系实施细则的，应按照现行新版实施细则计算。</w:t>
      </w:r>
    </w:p>
    <w:p w14:paraId="4FA0B3DE"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kern w:val="0"/>
          <w:szCs w:val="21"/>
        </w:rPr>
        <w:t>6</w:t>
      </w:r>
      <w:r>
        <w:rPr>
          <w:rFonts w:ascii="楷体_GB2312" w:eastAsia="楷体_GB2312" w:hAnsi="华文楷体" w:cs="宋体" w:hint="eastAsia"/>
          <w:kern w:val="0"/>
          <w:szCs w:val="21"/>
        </w:rPr>
        <w:t>. 所有加减分项目分开计算，减分项不可被抵消。</w:t>
      </w:r>
    </w:p>
    <w:p w14:paraId="63211FCB"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kern w:val="0"/>
          <w:szCs w:val="21"/>
        </w:rPr>
        <w:t>7</w:t>
      </w:r>
      <w:r>
        <w:rPr>
          <w:rFonts w:ascii="楷体_GB2312" w:eastAsia="楷体_GB2312" w:hAnsi="华文楷体" w:cs="宋体" w:hint="eastAsia"/>
          <w:kern w:val="0"/>
          <w:szCs w:val="21"/>
        </w:rPr>
        <w:t>．学院学生工作组负责综合测评结果的审核。</w:t>
      </w:r>
    </w:p>
    <w:p w14:paraId="08CD87EA" w14:textId="77777777"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kern w:val="0"/>
          <w:szCs w:val="21"/>
        </w:rPr>
        <w:t>8</w:t>
      </w:r>
      <w:r>
        <w:rPr>
          <w:rFonts w:ascii="楷体_GB2312" w:eastAsia="楷体_GB2312" w:hAnsi="华文楷体" w:cs="宋体" w:hint="eastAsia"/>
          <w:kern w:val="0"/>
          <w:szCs w:val="21"/>
        </w:rPr>
        <w:t>．本细则解释权归生物学院学生工作组。</w:t>
      </w:r>
    </w:p>
    <w:p w14:paraId="4FE3D554" w14:textId="69CA12FE" w:rsidR="00CA5DF5" w:rsidRDefault="00880A6E">
      <w:pPr>
        <w:spacing w:beforeLines="0" w:line="300" w:lineRule="auto"/>
        <w:ind w:firstLineChars="196" w:firstLine="412"/>
        <w:rPr>
          <w:rFonts w:ascii="楷体_GB2312" w:eastAsia="楷体_GB2312" w:hAnsi="华文楷体" w:cs="宋体"/>
          <w:kern w:val="0"/>
          <w:szCs w:val="21"/>
        </w:rPr>
      </w:pPr>
      <w:r>
        <w:rPr>
          <w:rFonts w:ascii="楷体_GB2312" w:eastAsia="楷体_GB2312" w:hAnsi="华文楷体" w:cs="宋体"/>
          <w:kern w:val="0"/>
          <w:szCs w:val="21"/>
        </w:rPr>
        <w:t>9</w:t>
      </w:r>
      <w:r>
        <w:rPr>
          <w:rFonts w:ascii="楷体_GB2312" w:eastAsia="楷体_GB2312" w:hAnsi="华文楷体" w:cs="宋体" w:hint="eastAsia"/>
          <w:kern w:val="0"/>
          <w:szCs w:val="21"/>
        </w:rPr>
        <w:t>．本细则自201</w:t>
      </w:r>
      <w:r>
        <w:rPr>
          <w:rFonts w:ascii="楷体_GB2312" w:eastAsia="楷体_GB2312" w:hAnsi="华文楷体" w:cs="宋体"/>
          <w:kern w:val="0"/>
          <w:szCs w:val="21"/>
        </w:rPr>
        <w:t>9</w:t>
      </w:r>
      <w:r>
        <w:rPr>
          <w:rFonts w:ascii="楷体_GB2312" w:eastAsia="楷体_GB2312" w:hAnsi="华文楷体" w:cs="宋体" w:hint="eastAsia"/>
          <w:kern w:val="0"/>
          <w:szCs w:val="21"/>
        </w:rPr>
        <w:t>年</w:t>
      </w:r>
      <w:r w:rsidR="00333BA5">
        <w:rPr>
          <w:rFonts w:ascii="楷体_GB2312" w:eastAsia="楷体_GB2312" w:hAnsi="华文楷体" w:cs="宋体" w:hint="eastAsia"/>
          <w:kern w:val="0"/>
          <w:szCs w:val="21"/>
        </w:rPr>
        <w:t>12</w:t>
      </w:r>
      <w:r>
        <w:rPr>
          <w:rFonts w:ascii="楷体_GB2312" w:eastAsia="楷体_GB2312" w:hAnsi="华文楷体" w:cs="宋体" w:hint="eastAsia"/>
          <w:kern w:val="0"/>
          <w:szCs w:val="21"/>
        </w:rPr>
        <w:t>月起执行</w:t>
      </w:r>
      <w:r w:rsidR="00333BA5">
        <w:rPr>
          <w:rFonts w:ascii="楷体_GB2312" w:eastAsia="楷体_GB2312" w:hAnsi="华文楷体" w:cs="宋体" w:hint="eastAsia"/>
          <w:kern w:val="0"/>
          <w:szCs w:val="21"/>
        </w:rPr>
        <w:t>，作为2020年综测评定依据</w:t>
      </w:r>
      <w:r>
        <w:rPr>
          <w:rFonts w:ascii="楷体_GB2312" w:eastAsia="楷体_GB2312" w:hAnsi="华文楷体" w:cs="宋体" w:hint="eastAsia"/>
          <w:kern w:val="0"/>
          <w:szCs w:val="21"/>
        </w:rPr>
        <w:t>。</w:t>
      </w:r>
    </w:p>
    <w:p w14:paraId="727BCFA1" w14:textId="77777777" w:rsidR="00CA5DF5" w:rsidRDefault="00CA5DF5">
      <w:pPr>
        <w:spacing w:beforeLines="0" w:line="300" w:lineRule="auto"/>
        <w:ind w:firstLineChars="196" w:firstLine="412"/>
        <w:rPr>
          <w:rFonts w:ascii="楷体_GB2312" w:eastAsia="楷体_GB2312" w:hAnsi="华文楷体" w:cs="宋体"/>
          <w:kern w:val="0"/>
          <w:szCs w:val="21"/>
        </w:rPr>
      </w:pPr>
    </w:p>
    <w:p w14:paraId="12D944B5" w14:textId="77777777" w:rsidR="00CA5DF5" w:rsidRDefault="00880A6E">
      <w:pPr>
        <w:widowControl/>
        <w:spacing w:beforeLines="0" w:line="240" w:lineRule="auto"/>
        <w:jc w:val="right"/>
        <w:rPr>
          <w:rFonts w:ascii="楷体_GB2312" w:eastAsia="楷体_GB2312" w:hAnsi="华文楷体" w:cs="宋体"/>
          <w:kern w:val="0"/>
          <w:szCs w:val="21"/>
        </w:rPr>
      </w:pPr>
      <w:r>
        <w:rPr>
          <w:rFonts w:ascii="楷体_GB2312" w:eastAsia="楷体_GB2312" w:hAnsi="华文楷体" w:cs="宋体" w:hint="eastAsia"/>
          <w:kern w:val="0"/>
          <w:szCs w:val="21"/>
        </w:rPr>
        <w:t>中国农业大学生物学院</w:t>
      </w:r>
    </w:p>
    <w:p w14:paraId="342D98EA" w14:textId="6FB6152C" w:rsidR="00CA5DF5" w:rsidRDefault="00880A6E">
      <w:pPr>
        <w:widowControl/>
        <w:spacing w:beforeLines="0" w:line="240" w:lineRule="auto"/>
        <w:jc w:val="right"/>
        <w:rPr>
          <w:rFonts w:ascii="楷体_GB2312" w:eastAsia="楷体_GB2312" w:hAnsi="华文楷体" w:cs="宋体"/>
          <w:kern w:val="0"/>
          <w:szCs w:val="21"/>
        </w:rPr>
      </w:pPr>
      <w:r>
        <w:rPr>
          <w:rFonts w:ascii="楷体_GB2312" w:eastAsia="楷体_GB2312" w:hAnsi="华文楷体" w:cs="宋体"/>
          <w:kern w:val="0"/>
          <w:szCs w:val="21"/>
        </w:rPr>
        <w:t>2019年12月</w:t>
      </w:r>
    </w:p>
    <w:sectPr w:rsidR="00CA5DF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EB45B" w14:textId="77777777" w:rsidR="0041195A" w:rsidRDefault="0041195A">
      <w:pPr>
        <w:spacing w:before="120" w:line="240" w:lineRule="auto"/>
      </w:pPr>
      <w:r>
        <w:separator/>
      </w:r>
    </w:p>
  </w:endnote>
  <w:endnote w:type="continuationSeparator" w:id="0">
    <w:p w14:paraId="77A2CF81" w14:textId="77777777" w:rsidR="0041195A" w:rsidRDefault="0041195A">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4480" w14:textId="77777777" w:rsidR="00CA5DF5" w:rsidRDefault="00CA5DF5">
    <w:pPr>
      <w:pStyle w:val="a9"/>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692A" w14:textId="77777777" w:rsidR="00CA5DF5" w:rsidRDefault="00CA5DF5">
    <w:pPr>
      <w:pStyle w:val="a9"/>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C3C1" w14:textId="77777777" w:rsidR="00CA5DF5" w:rsidRDefault="00CA5DF5">
    <w:pPr>
      <w:pStyle w:val="a9"/>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650E" w14:textId="77777777" w:rsidR="0041195A" w:rsidRDefault="0041195A">
      <w:pPr>
        <w:spacing w:before="120" w:line="240" w:lineRule="auto"/>
      </w:pPr>
      <w:r>
        <w:separator/>
      </w:r>
    </w:p>
  </w:footnote>
  <w:footnote w:type="continuationSeparator" w:id="0">
    <w:p w14:paraId="27DB2304" w14:textId="77777777" w:rsidR="0041195A" w:rsidRDefault="0041195A">
      <w:pPr>
        <w:spacing w:before="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8F9D" w14:textId="77777777" w:rsidR="00CA5DF5" w:rsidRDefault="00CA5DF5">
    <w:pPr>
      <w:pStyle w:val="ab"/>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3BF4" w14:textId="77777777" w:rsidR="00CA5DF5" w:rsidRDefault="00CA5DF5">
    <w:pPr>
      <w:pStyle w:val="ab"/>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ED0F" w14:textId="77777777" w:rsidR="00CA5DF5" w:rsidRDefault="00CA5DF5">
    <w:pPr>
      <w:pStyle w:val="ab"/>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2951"/>
    <w:multiLevelType w:val="multilevel"/>
    <w:tmpl w:val="29962951"/>
    <w:lvl w:ilvl="0">
      <w:start w:val="1"/>
      <w:numFmt w:val="bullet"/>
      <w:lvlText w:val=""/>
      <w:lvlJc w:val="left"/>
      <w:pPr>
        <w:tabs>
          <w:tab w:val="left" w:pos="720"/>
        </w:tabs>
        <w:ind w:left="720" w:hanging="360"/>
      </w:pPr>
      <w:rPr>
        <w:rFonts w:ascii="Wingdings 2" w:hAnsi="Wingdings 2" w:hint="default"/>
      </w:rPr>
    </w:lvl>
    <w:lvl w:ilvl="1">
      <w:start w:val="1"/>
      <w:numFmt w:val="bullet"/>
      <w:lvlText w:val=""/>
      <w:lvlJc w:val="left"/>
      <w:pPr>
        <w:tabs>
          <w:tab w:val="left" w:pos="1440"/>
        </w:tabs>
        <w:ind w:left="1440" w:hanging="360"/>
      </w:pPr>
      <w:rPr>
        <w:rFonts w:ascii="Wingdings 2" w:hAnsi="Wingdings 2" w:hint="default"/>
      </w:rPr>
    </w:lvl>
    <w:lvl w:ilvl="2">
      <w:start w:val="1"/>
      <w:numFmt w:val="bullet"/>
      <w:lvlText w:val=""/>
      <w:lvlJc w:val="left"/>
      <w:pPr>
        <w:tabs>
          <w:tab w:val="left" w:pos="2160"/>
        </w:tabs>
        <w:ind w:left="2160" w:hanging="360"/>
      </w:pPr>
      <w:rPr>
        <w:rFonts w:ascii="Wingdings 2" w:hAnsi="Wingdings 2" w:hint="default"/>
      </w:rPr>
    </w:lvl>
    <w:lvl w:ilvl="3">
      <w:start w:val="1"/>
      <w:numFmt w:val="bullet"/>
      <w:lvlText w:val=""/>
      <w:lvlJc w:val="left"/>
      <w:pPr>
        <w:tabs>
          <w:tab w:val="left" w:pos="2880"/>
        </w:tabs>
        <w:ind w:left="2880" w:hanging="360"/>
      </w:pPr>
      <w:rPr>
        <w:rFonts w:ascii="Wingdings 2" w:hAnsi="Wingdings 2" w:hint="default"/>
      </w:rPr>
    </w:lvl>
    <w:lvl w:ilvl="4">
      <w:start w:val="1"/>
      <w:numFmt w:val="bullet"/>
      <w:lvlText w:val=""/>
      <w:lvlJc w:val="left"/>
      <w:pPr>
        <w:tabs>
          <w:tab w:val="left" w:pos="3600"/>
        </w:tabs>
        <w:ind w:left="3600" w:hanging="360"/>
      </w:pPr>
      <w:rPr>
        <w:rFonts w:ascii="Wingdings 2" w:hAnsi="Wingdings 2" w:hint="default"/>
      </w:rPr>
    </w:lvl>
    <w:lvl w:ilvl="5">
      <w:start w:val="1"/>
      <w:numFmt w:val="bullet"/>
      <w:lvlText w:val=""/>
      <w:lvlJc w:val="left"/>
      <w:pPr>
        <w:tabs>
          <w:tab w:val="left" w:pos="4320"/>
        </w:tabs>
        <w:ind w:left="4320" w:hanging="360"/>
      </w:pPr>
      <w:rPr>
        <w:rFonts w:ascii="Wingdings 2" w:hAnsi="Wingdings 2" w:hint="default"/>
      </w:rPr>
    </w:lvl>
    <w:lvl w:ilvl="6">
      <w:start w:val="1"/>
      <w:numFmt w:val="bullet"/>
      <w:lvlText w:val=""/>
      <w:lvlJc w:val="left"/>
      <w:pPr>
        <w:tabs>
          <w:tab w:val="left" w:pos="5040"/>
        </w:tabs>
        <w:ind w:left="5040" w:hanging="360"/>
      </w:pPr>
      <w:rPr>
        <w:rFonts w:ascii="Wingdings 2" w:hAnsi="Wingdings 2" w:hint="default"/>
      </w:rPr>
    </w:lvl>
    <w:lvl w:ilvl="7">
      <w:start w:val="1"/>
      <w:numFmt w:val="bullet"/>
      <w:lvlText w:val=""/>
      <w:lvlJc w:val="left"/>
      <w:pPr>
        <w:tabs>
          <w:tab w:val="left" w:pos="5760"/>
        </w:tabs>
        <w:ind w:left="5760" w:hanging="360"/>
      </w:pPr>
      <w:rPr>
        <w:rFonts w:ascii="Wingdings 2" w:hAnsi="Wingdings 2" w:hint="default"/>
      </w:rPr>
    </w:lvl>
    <w:lvl w:ilvl="8">
      <w:start w:val="1"/>
      <w:numFmt w:val="bullet"/>
      <w:lvlText w:val=""/>
      <w:lvlJc w:val="left"/>
      <w:pPr>
        <w:tabs>
          <w:tab w:val="left"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A"/>
    <w:rsid w:val="00013DCC"/>
    <w:rsid w:val="00023F2A"/>
    <w:rsid w:val="000251F9"/>
    <w:rsid w:val="000305C1"/>
    <w:rsid w:val="000348D4"/>
    <w:rsid w:val="00046648"/>
    <w:rsid w:val="00047260"/>
    <w:rsid w:val="000578C1"/>
    <w:rsid w:val="00081770"/>
    <w:rsid w:val="0008421C"/>
    <w:rsid w:val="000842CD"/>
    <w:rsid w:val="00091B68"/>
    <w:rsid w:val="000C1C68"/>
    <w:rsid w:val="000D1860"/>
    <w:rsid w:val="0011615C"/>
    <w:rsid w:val="00147471"/>
    <w:rsid w:val="00150DD5"/>
    <w:rsid w:val="00161F9D"/>
    <w:rsid w:val="00175B5B"/>
    <w:rsid w:val="00185529"/>
    <w:rsid w:val="00196BAF"/>
    <w:rsid w:val="001A1542"/>
    <w:rsid w:val="001A158D"/>
    <w:rsid w:val="001B4F63"/>
    <w:rsid w:val="001D08B7"/>
    <w:rsid w:val="001D79F0"/>
    <w:rsid w:val="001E0304"/>
    <w:rsid w:val="001E237A"/>
    <w:rsid w:val="001F23C8"/>
    <w:rsid w:val="001F7BAF"/>
    <w:rsid w:val="002162B4"/>
    <w:rsid w:val="002321CC"/>
    <w:rsid w:val="0023485C"/>
    <w:rsid w:val="002414F0"/>
    <w:rsid w:val="00262B24"/>
    <w:rsid w:val="00264137"/>
    <w:rsid w:val="002857B6"/>
    <w:rsid w:val="00294E91"/>
    <w:rsid w:val="002A664D"/>
    <w:rsid w:val="002A6D66"/>
    <w:rsid w:val="002C3AA3"/>
    <w:rsid w:val="002C3BA9"/>
    <w:rsid w:val="002C5853"/>
    <w:rsid w:val="002C7D23"/>
    <w:rsid w:val="002D3072"/>
    <w:rsid w:val="002F2501"/>
    <w:rsid w:val="002F4198"/>
    <w:rsid w:val="00311482"/>
    <w:rsid w:val="00312B9C"/>
    <w:rsid w:val="00317DF9"/>
    <w:rsid w:val="00333BA5"/>
    <w:rsid w:val="003453CE"/>
    <w:rsid w:val="0035291B"/>
    <w:rsid w:val="00354EE1"/>
    <w:rsid w:val="00365B84"/>
    <w:rsid w:val="0037383F"/>
    <w:rsid w:val="00373EF9"/>
    <w:rsid w:val="00382C2A"/>
    <w:rsid w:val="00383668"/>
    <w:rsid w:val="0038477D"/>
    <w:rsid w:val="00391F78"/>
    <w:rsid w:val="003A0224"/>
    <w:rsid w:val="003B2771"/>
    <w:rsid w:val="003B4829"/>
    <w:rsid w:val="003E208C"/>
    <w:rsid w:val="003E317C"/>
    <w:rsid w:val="003E6DDF"/>
    <w:rsid w:val="003E7E78"/>
    <w:rsid w:val="003F1BFC"/>
    <w:rsid w:val="0041195A"/>
    <w:rsid w:val="00413C98"/>
    <w:rsid w:val="00437097"/>
    <w:rsid w:val="00463329"/>
    <w:rsid w:val="00496363"/>
    <w:rsid w:val="004A35F0"/>
    <w:rsid w:val="004B0E15"/>
    <w:rsid w:val="004B5FEB"/>
    <w:rsid w:val="004C1ACA"/>
    <w:rsid w:val="004C2DC6"/>
    <w:rsid w:val="004E15BF"/>
    <w:rsid w:val="004E4555"/>
    <w:rsid w:val="004E5193"/>
    <w:rsid w:val="004F1369"/>
    <w:rsid w:val="005143E4"/>
    <w:rsid w:val="005173A9"/>
    <w:rsid w:val="00521FA2"/>
    <w:rsid w:val="00534A48"/>
    <w:rsid w:val="00536D83"/>
    <w:rsid w:val="005441B8"/>
    <w:rsid w:val="00547A9A"/>
    <w:rsid w:val="0055660D"/>
    <w:rsid w:val="005600CC"/>
    <w:rsid w:val="00573433"/>
    <w:rsid w:val="005B57CF"/>
    <w:rsid w:val="005D32DB"/>
    <w:rsid w:val="005D3468"/>
    <w:rsid w:val="005E1A33"/>
    <w:rsid w:val="005F0C69"/>
    <w:rsid w:val="005F1925"/>
    <w:rsid w:val="00604241"/>
    <w:rsid w:val="00611455"/>
    <w:rsid w:val="00612E7D"/>
    <w:rsid w:val="00620DC1"/>
    <w:rsid w:val="00626022"/>
    <w:rsid w:val="006261FA"/>
    <w:rsid w:val="00626FF3"/>
    <w:rsid w:val="00642CB5"/>
    <w:rsid w:val="00646CFB"/>
    <w:rsid w:val="006710B3"/>
    <w:rsid w:val="006741C3"/>
    <w:rsid w:val="006A0C42"/>
    <w:rsid w:val="006A240C"/>
    <w:rsid w:val="006B59F3"/>
    <w:rsid w:val="006C31E8"/>
    <w:rsid w:val="006C442A"/>
    <w:rsid w:val="006E4976"/>
    <w:rsid w:val="00716BE9"/>
    <w:rsid w:val="00722928"/>
    <w:rsid w:val="00723889"/>
    <w:rsid w:val="0074745A"/>
    <w:rsid w:val="00752A33"/>
    <w:rsid w:val="007570DD"/>
    <w:rsid w:val="0076650F"/>
    <w:rsid w:val="00793737"/>
    <w:rsid w:val="007A4E60"/>
    <w:rsid w:val="007B42FF"/>
    <w:rsid w:val="007C3712"/>
    <w:rsid w:val="007C7740"/>
    <w:rsid w:val="007F195D"/>
    <w:rsid w:val="007F350F"/>
    <w:rsid w:val="007F5B63"/>
    <w:rsid w:val="00804B41"/>
    <w:rsid w:val="00807168"/>
    <w:rsid w:val="00841740"/>
    <w:rsid w:val="00842395"/>
    <w:rsid w:val="0085605C"/>
    <w:rsid w:val="00862DDC"/>
    <w:rsid w:val="00865C0A"/>
    <w:rsid w:val="00880605"/>
    <w:rsid w:val="00880A6E"/>
    <w:rsid w:val="00893B7E"/>
    <w:rsid w:val="008A788C"/>
    <w:rsid w:val="008B3A82"/>
    <w:rsid w:val="008C550C"/>
    <w:rsid w:val="008C6356"/>
    <w:rsid w:val="008C7F90"/>
    <w:rsid w:val="008D63CE"/>
    <w:rsid w:val="008F2BAA"/>
    <w:rsid w:val="008F63EF"/>
    <w:rsid w:val="00901FD3"/>
    <w:rsid w:val="009148A5"/>
    <w:rsid w:val="0096326D"/>
    <w:rsid w:val="0097262F"/>
    <w:rsid w:val="00974E05"/>
    <w:rsid w:val="00981C3C"/>
    <w:rsid w:val="00996D2A"/>
    <w:rsid w:val="009B4F1E"/>
    <w:rsid w:val="009B556A"/>
    <w:rsid w:val="009E4A90"/>
    <w:rsid w:val="009F43FB"/>
    <w:rsid w:val="00A006D6"/>
    <w:rsid w:val="00A01205"/>
    <w:rsid w:val="00A0420C"/>
    <w:rsid w:val="00A274BC"/>
    <w:rsid w:val="00A35395"/>
    <w:rsid w:val="00A5609A"/>
    <w:rsid w:val="00A74D79"/>
    <w:rsid w:val="00A81387"/>
    <w:rsid w:val="00A95280"/>
    <w:rsid w:val="00AA2A27"/>
    <w:rsid w:val="00AB7F83"/>
    <w:rsid w:val="00AC091F"/>
    <w:rsid w:val="00AC670E"/>
    <w:rsid w:val="00AC6F36"/>
    <w:rsid w:val="00AD3BCE"/>
    <w:rsid w:val="00AF6562"/>
    <w:rsid w:val="00B002CB"/>
    <w:rsid w:val="00B063C3"/>
    <w:rsid w:val="00B12673"/>
    <w:rsid w:val="00B25B4C"/>
    <w:rsid w:val="00B37901"/>
    <w:rsid w:val="00B46D96"/>
    <w:rsid w:val="00B62BDA"/>
    <w:rsid w:val="00B824F4"/>
    <w:rsid w:val="00B91180"/>
    <w:rsid w:val="00BB33BF"/>
    <w:rsid w:val="00BD2C99"/>
    <w:rsid w:val="00BE633B"/>
    <w:rsid w:val="00BF4140"/>
    <w:rsid w:val="00C02719"/>
    <w:rsid w:val="00C031E8"/>
    <w:rsid w:val="00C10B20"/>
    <w:rsid w:val="00C2345F"/>
    <w:rsid w:val="00C4342F"/>
    <w:rsid w:val="00C71F48"/>
    <w:rsid w:val="00C72EA0"/>
    <w:rsid w:val="00C86B21"/>
    <w:rsid w:val="00C9214E"/>
    <w:rsid w:val="00C93CE8"/>
    <w:rsid w:val="00CA4F6C"/>
    <w:rsid w:val="00CA5DF5"/>
    <w:rsid w:val="00CB475B"/>
    <w:rsid w:val="00CD42AF"/>
    <w:rsid w:val="00CE1237"/>
    <w:rsid w:val="00CE41F4"/>
    <w:rsid w:val="00CE62FD"/>
    <w:rsid w:val="00D407F8"/>
    <w:rsid w:val="00D67D24"/>
    <w:rsid w:val="00D703C8"/>
    <w:rsid w:val="00D750C2"/>
    <w:rsid w:val="00D86874"/>
    <w:rsid w:val="00DB4BF4"/>
    <w:rsid w:val="00DE1AD9"/>
    <w:rsid w:val="00DF03AA"/>
    <w:rsid w:val="00DF6092"/>
    <w:rsid w:val="00E07010"/>
    <w:rsid w:val="00E07ADA"/>
    <w:rsid w:val="00E2109A"/>
    <w:rsid w:val="00E2658C"/>
    <w:rsid w:val="00E447C5"/>
    <w:rsid w:val="00E44890"/>
    <w:rsid w:val="00E5633A"/>
    <w:rsid w:val="00E61868"/>
    <w:rsid w:val="00E763E3"/>
    <w:rsid w:val="00E8309A"/>
    <w:rsid w:val="00E87F48"/>
    <w:rsid w:val="00E955A0"/>
    <w:rsid w:val="00EA138F"/>
    <w:rsid w:val="00EB4EEB"/>
    <w:rsid w:val="00ED43C1"/>
    <w:rsid w:val="00ED7158"/>
    <w:rsid w:val="00EE294A"/>
    <w:rsid w:val="00EF067B"/>
    <w:rsid w:val="00EF3A70"/>
    <w:rsid w:val="00F23ED0"/>
    <w:rsid w:val="00F473CB"/>
    <w:rsid w:val="00F51112"/>
    <w:rsid w:val="00F518C1"/>
    <w:rsid w:val="00F53B32"/>
    <w:rsid w:val="00F7023D"/>
    <w:rsid w:val="00F712B2"/>
    <w:rsid w:val="00F8756D"/>
    <w:rsid w:val="00FA7A5C"/>
    <w:rsid w:val="00FB4B3D"/>
    <w:rsid w:val="00FC78DD"/>
    <w:rsid w:val="00FE0575"/>
    <w:rsid w:val="00FE2DE2"/>
    <w:rsid w:val="00FE648A"/>
    <w:rsid w:val="00FE76B3"/>
    <w:rsid w:val="0F6247B2"/>
    <w:rsid w:val="31F1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03676"/>
  <w15:docId w15:val="{B67875A3-8EFA-4FA2-AD59-DA220FA7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line="460" w:lineRule="exact"/>
      <w:jc w:val="both"/>
    </w:pPr>
    <w:rPr>
      <w:rFonts w:ascii="Calibri" w:eastAsia="宋体" w:hAnsi="Calibri" w:cs="Times New Roman"/>
      <w:kern w:val="2"/>
      <w:sz w:val="21"/>
      <w:szCs w:val="22"/>
    </w:rPr>
  </w:style>
  <w:style w:type="paragraph" w:styleId="3">
    <w:name w:val="heading 3"/>
    <w:basedOn w:val="a"/>
    <w:next w:val="a"/>
    <w:link w:val="30"/>
    <w:qFormat/>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qFormat/>
    <w:pPr>
      <w:spacing w:line="240" w:lineRule="auto"/>
    </w:pPr>
    <w:rPr>
      <w:sz w:val="18"/>
      <w:szCs w:val="18"/>
    </w:rPr>
  </w:style>
  <w:style w:type="paragraph" w:styleId="a9">
    <w:name w:val="footer"/>
    <w:basedOn w:val="a"/>
    <w:link w:val="aa"/>
    <w:uiPriority w:val="99"/>
    <w:semiHidden/>
    <w:unhideWhenUsed/>
    <w:qFormat/>
    <w:pPr>
      <w:tabs>
        <w:tab w:val="center" w:pos="4153"/>
        <w:tab w:val="right" w:pos="8306"/>
      </w:tabs>
      <w:snapToGrid w:val="0"/>
      <w:spacing w:line="240" w:lineRule="atLeast"/>
      <w:jc w:val="left"/>
    </w:pPr>
    <w:rPr>
      <w:sz w:val="18"/>
      <w:szCs w:val="18"/>
    </w:rPr>
  </w:style>
  <w:style w:type="paragraph" w:styleId="ab">
    <w:name w:val="header"/>
    <w:basedOn w:val="a"/>
    <w:link w:val="ac"/>
    <w:uiPriority w:val="99"/>
    <w:semiHidden/>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styleId="ad">
    <w:name w:val="annotation reference"/>
    <w:basedOn w:val="a0"/>
    <w:uiPriority w:val="99"/>
    <w:semiHidden/>
    <w:unhideWhenUsed/>
    <w:qFormat/>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rPr>
      <w:rFonts w:ascii="Calibri" w:eastAsia="宋体" w:hAnsi="Calibri" w:cs="Times New Roman"/>
      <w:b/>
      <w:bCs/>
      <w:sz w:val="32"/>
      <w:szCs w:val="32"/>
    </w:rPr>
  </w:style>
  <w:style w:type="character" w:customStyle="1" w:styleId="a8">
    <w:name w:val="批注框文本 字符"/>
    <w:basedOn w:val="a0"/>
    <w:link w:val="a7"/>
    <w:uiPriority w:val="99"/>
    <w:semiHidden/>
    <w:rPr>
      <w:rFonts w:ascii="Calibri" w:eastAsia="宋体" w:hAnsi="Calibri" w:cs="Times New Roman"/>
      <w:sz w:val="18"/>
      <w:szCs w:val="18"/>
    </w:rPr>
  </w:style>
  <w:style w:type="character" w:customStyle="1" w:styleId="ac">
    <w:name w:val="页眉 字符"/>
    <w:basedOn w:val="a0"/>
    <w:link w:val="ab"/>
    <w:uiPriority w:val="99"/>
    <w:semiHidden/>
    <w:rPr>
      <w:rFonts w:ascii="Calibri" w:eastAsia="宋体" w:hAnsi="Calibri" w:cs="Times New Roman"/>
      <w:sz w:val="18"/>
      <w:szCs w:val="18"/>
    </w:rPr>
  </w:style>
  <w:style w:type="character" w:customStyle="1" w:styleId="aa">
    <w:name w:val="页脚 字符"/>
    <w:basedOn w:val="a0"/>
    <w:link w:val="a9"/>
    <w:uiPriority w:val="99"/>
    <w:semiHidden/>
    <w:rPr>
      <w:rFonts w:ascii="Calibri" w:eastAsia="宋体" w:hAnsi="Calibri" w:cs="Times New Roman"/>
      <w:sz w:val="18"/>
      <w:szCs w:val="18"/>
    </w:rPr>
  </w:style>
  <w:style w:type="character" w:customStyle="1" w:styleId="a6">
    <w:name w:val="批注文字 字符"/>
    <w:basedOn w:val="a0"/>
    <w:link w:val="a4"/>
    <w:uiPriority w:val="99"/>
    <w:semiHidden/>
    <w:rPr>
      <w:rFonts w:ascii="Calibri" w:eastAsia="宋体" w:hAnsi="Calibri" w:cs="Times New Roman"/>
    </w:rPr>
  </w:style>
  <w:style w:type="character" w:customStyle="1" w:styleId="a5">
    <w:name w:val="批注主题 字符"/>
    <w:basedOn w:val="a6"/>
    <w:link w:val="a3"/>
    <w:uiPriority w:val="99"/>
    <w:semiHidden/>
    <w:qFormat/>
    <w:rPr>
      <w:rFonts w:ascii="Calibri" w:eastAsia="宋体" w:hAnsi="Calibri" w:cs="Times New Roman"/>
      <w:b/>
      <w:bCs/>
    </w:rPr>
  </w:style>
  <w:style w:type="paragraph" w:customStyle="1" w:styleId="1">
    <w:name w:val="修订1"/>
    <w:hidden/>
    <w:uiPriority w:val="99"/>
    <w:semiHidden/>
    <w:qFormat/>
    <w:rPr>
      <w:rFonts w:ascii="Calibri" w:eastAsia="宋体" w:hAnsi="Calibri" w:cs="Times New Roman"/>
      <w:kern w:val="2"/>
      <w:sz w:val="21"/>
      <w:szCs w:val="22"/>
    </w:rPr>
  </w:style>
  <w:style w:type="paragraph" w:customStyle="1" w:styleId="2">
    <w:name w:val="修订2"/>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2DE430-C827-42B4-B299-3BDF4BF5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15</cp:revision>
  <cp:lastPrinted>2013-05-31T02:19:00Z</cp:lastPrinted>
  <dcterms:created xsi:type="dcterms:W3CDTF">2019-11-10T11:07:00Z</dcterms:created>
  <dcterms:modified xsi:type="dcterms:W3CDTF">2020-01-12T12:12:00Z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