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4" w:rsidRDefault="009D394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  <w:r w:rsidR="007D2DC4">
        <w:rPr>
          <w:rFonts w:hint="eastAsia"/>
          <w:b/>
          <w:bCs/>
          <w:sz w:val="28"/>
        </w:rPr>
        <w:t>北京航空航天大学经济管理学院</w:t>
      </w:r>
    </w:p>
    <w:p w:rsidR="007D2DC4" w:rsidRDefault="007D2DC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431 </w:t>
      </w:r>
      <w:r>
        <w:rPr>
          <w:rFonts w:hint="eastAsia"/>
          <w:b/>
          <w:bCs/>
          <w:sz w:val="28"/>
        </w:rPr>
        <w:t>金融学综合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专业硕士入学考试大纲（</w:t>
      </w:r>
      <w:r>
        <w:rPr>
          <w:rFonts w:hint="eastAsia"/>
          <w:b/>
          <w:bCs/>
          <w:sz w:val="28"/>
        </w:rPr>
        <w:t>20</w:t>
      </w:r>
      <w:r w:rsidR="00656CD0">
        <w:rPr>
          <w:rFonts w:hint="eastAsia"/>
          <w:b/>
          <w:bCs/>
          <w:sz w:val="28"/>
        </w:rPr>
        <w:t>2</w:t>
      </w:r>
      <w:r w:rsidR="001138F3"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版）</w:t>
      </w: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内容比例</w:t>
      </w:r>
    </w:p>
    <w:p w:rsidR="007D2DC4" w:rsidRDefault="007D2DC4">
      <w:pPr>
        <w:ind w:firstLineChars="150" w:firstLine="315"/>
      </w:pPr>
      <w:r>
        <w:rPr>
          <w:rFonts w:hint="eastAsia"/>
        </w:rPr>
        <w:t>《金融学综合》试题包括货币金融学占</w:t>
      </w:r>
      <w:r w:rsidR="00805B94">
        <w:t>30</w:t>
      </w:r>
      <w:r>
        <w:rPr>
          <w:rFonts w:hint="eastAsia"/>
        </w:rPr>
        <w:t>%</w:t>
      </w:r>
      <w:r>
        <w:rPr>
          <w:rFonts w:hint="eastAsia"/>
        </w:rPr>
        <w:t>、投资学占</w:t>
      </w:r>
      <w:r w:rsidR="00805B94">
        <w:t>40</w:t>
      </w:r>
      <w:r>
        <w:rPr>
          <w:rFonts w:hint="eastAsia"/>
        </w:rPr>
        <w:t>%</w:t>
      </w:r>
      <w:r>
        <w:rPr>
          <w:rFonts w:hint="eastAsia"/>
        </w:rPr>
        <w:t>、财务管理学占</w:t>
      </w:r>
      <w:r w:rsidR="00805B94">
        <w:t>3</w:t>
      </w:r>
      <w:r>
        <w:rPr>
          <w:rFonts w:hint="eastAsia"/>
        </w:rPr>
        <w:t>0%</w:t>
      </w:r>
      <w:r>
        <w:rPr>
          <w:rFonts w:hint="eastAsia"/>
        </w:rPr>
        <w:t>，共</w:t>
      </w:r>
      <w:r w:rsidR="00805B94">
        <w:rPr>
          <w:rFonts w:hint="eastAsia"/>
        </w:rPr>
        <w:t>三</w:t>
      </w:r>
      <w:r>
        <w:rPr>
          <w:rFonts w:hint="eastAsia"/>
        </w:rPr>
        <w:t>部分。总分</w:t>
      </w:r>
      <w:r>
        <w:rPr>
          <w:rFonts w:hint="eastAsia"/>
        </w:rPr>
        <w:t>150</w:t>
      </w:r>
      <w:r>
        <w:rPr>
          <w:rFonts w:hint="eastAsia"/>
        </w:rPr>
        <w:t>分。</w:t>
      </w:r>
    </w:p>
    <w:p w:rsidR="007D2DC4" w:rsidRDefault="007D2DC4" w:rsidP="00CF72B3">
      <w:pPr>
        <w:ind w:firstLineChars="200" w:firstLine="422"/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货币金融学</w:t>
      </w:r>
      <w:r>
        <w:rPr>
          <w:rFonts w:hint="eastAsia"/>
          <w:sz w:val="28"/>
          <w:szCs w:val="28"/>
        </w:rPr>
        <w:t>部分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一、货币与货币制度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1、货币的起源与货币形态变迁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2、货币的本质及形式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3、货币的职能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4、货币制度构成要素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5、货币制度类型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二、信用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1、信用的主要形式及其含义、特点和作用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2、信用工具的种类及特点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3、信用对经济的影响</w:t>
      </w:r>
    </w:p>
    <w:p w:rsidR="00CF72B3" w:rsidRPr="00CF72B3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4、信用评级的历史演进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7D2DC4">
        <w:rPr>
          <w:rFonts w:ascii="宋体" w:hAnsi="宋体" w:hint="eastAsia"/>
          <w:szCs w:val="21"/>
        </w:rPr>
        <w:t>、利息率的定义及种类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7D2DC4">
        <w:rPr>
          <w:rFonts w:ascii="宋体" w:hAnsi="宋体" w:hint="eastAsia"/>
          <w:szCs w:val="21"/>
        </w:rPr>
        <w:t>、决定和影响利息率变化的因素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7D2DC4">
        <w:rPr>
          <w:rFonts w:ascii="宋体" w:hAnsi="宋体" w:hint="eastAsia"/>
          <w:szCs w:val="21"/>
        </w:rPr>
        <w:t>、利率的作用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三、金融市场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1、金融市场的概念、基本要素及分类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2、金融市场的功能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3、各类货币市场上的交易活动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4、金融工具的种类及作用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5、资本市场上各类证券的发行与交易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四、金融机构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1、金融机构的概念、种类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2、我国现行金融机构体系的构成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3、各类金融机构的主要业务和功能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五、货币政策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1、货币政策的含义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2、货币政策的最终目标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3、货币政策的中介目标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4、货币政策工具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5、货币政策的传导机制</w:t>
      </w:r>
    </w:p>
    <w:p w:rsidR="00805B94" w:rsidRDefault="00805B94" w:rsidP="00805B94">
      <w:pPr>
        <w:rPr>
          <w:b/>
        </w:rPr>
      </w:pPr>
      <w:r>
        <w:rPr>
          <w:rFonts w:hint="eastAsia"/>
          <w:b/>
        </w:rPr>
        <w:t>六、货币市场均衡与基础货币乘数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lastRenderedPageBreak/>
        <w:t>货币需求方程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货币供给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均衡利率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基础货币乘数</w:t>
      </w:r>
    </w:p>
    <w:p w:rsidR="007D2DC4" w:rsidRDefault="007D2D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投资学部分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一</w:t>
      </w:r>
      <w:r w:rsidR="007D2DC4">
        <w:rPr>
          <w:rFonts w:hint="eastAsia"/>
          <w:b/>
        </w:rPr>
        <w:t>、现代投资组合理论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．风险资产组合的风险与期望收益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．有效前沿与无差异曲线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．最佳资产组合选择与投资分散化</w:t>
      </w:r>
    </w:p>
    <w:p w:rsidR="007D2DC4" w:rsidRDefault="007D2DC4">
      <w:r>
        <w:rPr>
          <w:rFonts w:hint="eastAsia"/>
        </w:rPr>
        <w:t xml:space="preserve">     </w:t>
      </w:r>
      <w:r w:rsidR="00575B63">
        <w:t xml:space="preserve">  </w:t>
      </w:r>
      <w:r>
        <w:rPr>
          <w:rFonts w:hint="eastAsia"/>
        </w:rPr>
        <w:t>无风险资产的借与贷、市场组合、资本市场线、分离定理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二</w:t>
      </w:r>
      <w:r w:rsidR="007D2DC4">
        <w:rPr>
          <w:rFonts w:hint="eastAsia"/>
          <w:b/>
        </w:rPr>
        <w:t>、均衡资本市场理论</w:t>
      </w:r>
    </w:p>
    <w:p w:rsidR="00575B63" w:rsidRDefault="007D2DC4" w:rsidP="00575B63">
      <w:pPr>
        <w:ind w:firstLineChars="200" w:firstLine="420"/>
      </w:pPr>
      <w:r>
        <w:rPr>
          <w:rFonts w:hint="eastAsia"/>
        </w:rPr>
        <w:t xml:space="preserve">1.  </w:t>
      </w:r>
      <w:r>
        <w:rPr>
          <w:rFonts w:hint="eastAsia"/>
        </w:rPr>
        <w:t>资本资产定价模型</w:t>
      </w:r>
      <w:r>
        <w:rPr>
          <w:rFonts w:hint="eastAsia"/>
        </w:rPr>
        <w:t>CAPM</w:t>
      </w:r>
      <w:r w:rsidR="00575B63">
        <w:rPr>
          <w:rFonts w:hint="eastAsia"/>
        </w:rPr>
        <w:t>：</w:t>
      </w:r>
      <w:r w:rsidR="00575B63">
        <w:rPr>
          <w:rFonts w:hint="eastAsia"/>
        </w:rPr>
        <w:t>CAPM</w:t>
      </w:r>
      <w:r w:rsidR="00575B63">
        <w:rPr>
          <w:rFonts w:hint="eastAsia"/>
        </w:rPr>
        <w:t>、贝塔系数、证券市场线，等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2.  </w:t>
      </w:r>
      <w:r>
        <w:rPr>
          <w:rFonts w:hint="eastAsia"/>
        </w:rPr>
        <w:t>套利定价理论</w:t>
      </w:r>
      <w:r>
        <w:rPr>
          <w:rFonts w:hint="eastAsia"/>
        </w:rPr>
        <w:t>APT</w:t>
      </w:r>
      <w:r>
        <w:rPr>
          <w:rFonts w:hint="eastAsia"/>
        </w:rPr>
        <w:t>与因素模型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3.  </w:t>
      </w:r>
      <w:r>
        <w:rPr>
          <w:rFonts w:hint="eastAsia"/>
        </w:rPr>
        <w:t>有效市场假说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三</w:t>
      </w:r>
      <w:r w:rsidR="007D2DC4">
        <w:rPr>
          <w:rFonts w:hint="eastAsia"/>
          <w:b/>
        </w:rPr>
        <w:t>、固定收益证券</w:t>
      </w:r>
      <w:r w:rsidR="00C40997">
        <w:rPr>
          <w:rFonts w:hint="eastAsia"/>
          <w:b/>
        </w:rPr>
        <w:t>及风险管理</w:t>
      </w:r>
    </w:p>
    <w:p w:rsidR="007D2DC4" w:rsidRDefault="00575B63" w:rsidP="00575B63">
      <w:pPr>
        <w:ind w:firstLineChars="200" w:firstLine="420"/>
      </w:pPr>
      <w:r>
        <w:t>1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利率的期限结构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）收益率曲线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）远期利率、即期利率的计算与二者之间的关系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）期限结构理论及对不同收益率曲线的解释</w:t>
      </w:r>
    </w:p>
    <w:p w:rsidR="007D2DC4" w:rsidRDefault="00575B63" w:rsidP="00575B63">
      <w:pPr>
        <w:ind w:firstLineChars="200" w:firstLine="420"/>
      </w:pPr>
      <w:r>
        <w:t>2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利率风险</w:t>
      </w:r>
    </w:p>
    <w:p w:rsidR="007D2DC4" w:rsidRDefault="00575B63" w:rsidP="00575B63">
      <w:pPr>
        <w:ind w:firstLineChars="200" w:firstLine="420"/>
      </w:pPr>
      <w:r>
        <w:t>3</w:t>
      </w:r>
      <w:r w:rsidR="007D2DC4">
        <w:rPr>
          <w:rFonts w:hint="eastAsia"/>
        </w:rPr>
        <w:t>．久期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）久期基本概念及其计算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）久期价格变动公式与修正久期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）久期与免疫资产的构建</w:t>
      </w:r>
    </w:p>
    <w:p w:rsidR="007D2DC4" w:rsidRDefault="00575B63" w:rsidP="00575B63">
      <w:pPr>
        <w:ind w:firstLineChars="200" w:firstLine="420"/>
      </w:pPr>
      <w:r>
        <w:t>4</w:t>
      </w:r>
      <w:r w:rsidR="007D2DC4">
        <w:rPr>
          <w:rFonts w:hint="eastAsia"/>
        </w:rPr>
        <w:t>．债券组合管理</w:t>
      </w:r>
    </w:p>
    <w:p w:rsidR="007D2DC4" w:rsidRDefault="007D2DC4" w:rsidP="00575B63">
      <w:pPr>
        <w:ind w:firstLineChars="350" w:firstLine="735"/>
      </w:pPr>
      <w:r>
        <w:rPr>
          <w:rFonts w:hint="eastAsia"/>
        </w:rPr>
        <w:t>债券投资策略：被动投资策略和主动投资策略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四</w:t>
      </w:r>
      <w:r w:rsidR="007D2DC4">
        <w:rPr>
          <w:rFonts w:hint="eastAsia"/>
          <w:b/>
        </w:rPr>
        <w:t>、期货、期权和其他衍生品</w:t>
      </w:r>
    </w:p>
    <w:p w:rsidR="007D2DC4" w:rsidRDefault="00575B63" w:rsidP="00575B63">
      <w:pPr>
        <w:ind w:left="420"/>
      </w:pPr>
      <w:r>
        <w:rPr>
          <w:rFonts w:hint="eastAsia"/>
        </w:rPr>
        <w:t>1</w:t>
      </w:r>
      <w:r>
        <w:t xml:space="preserve">.  </w:t>
      </w:r>
      <w:r w:rsidR="007D2DC4">
        <w:rPr>
          <w:rFonts w:hint="eastAsia"/>
        </w:rPr>
        <w:t>期货市场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期货合约、交易机制、期货定价、期货策略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外汇期货、股票指数期货、利率期货、商品期货的定价</w:t>
      </w:r>
    </w:p>
    <w:p w:rsidR="007D2DC4" w:rsidRDefault="00575B63" w:rsidP="00575B63">
      <w:pPr>
        <w:ind w:left="420"/>
      </w:pPr>
      <w:r>
        <w:rPr>
          <w:rFonts w:hint="eastAsia"/>
        </w:rPr>
        <w:t>2</w:t>
      </w:r>
      <w:r>
        <w:t xml:space="preserve">.  </w:t>
      </w:r>
      <w:r w:rsidR="007D2DC4">
        <w:rPr>
          <w:rFonts w:hint="eastAsia"/>
        </w:rPr>
        <w:t>期权市场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期权合约、期权策略、看涨期权与看跌期权的平价关系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期权定价：二叉树定价、</w:t>
      </w:r>
      <w:r>
        <w:rPr>
          <w:rFonts w:hint="eastAsia"/>
        </w:rPr>
        <w:t>Black-Sholes</w:t>
      </w:r>
      <w:r>
        <w:rPr>
          <w:rFonts w:hint="eastAsia"/>
        </w:rPr>
        <w:t>定价</w:t>
      </w:r>
    </w:p>
    <w:p w:rsidR="007D2DC4" w:rsidRDefault="007D2DC4">
      <w:pPr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财务管理学部分</w:t>
      </w:r>
      <w:bookmarkStart w:id="0" w:name="_GoBack"/>
      <w:bookmarkEnd w:id="0"/>
    </w:p>
    <w:p w:rsidR="007D2DC4" w:rsidRDefault="007D2DC4" w:rsidP="00575B63">
      <w:pPr>
        <w:ind w:left="422" w:hangingChars="200" w:hanging="422"/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一、财务管理基本概念</w:t>
      </w:r>
      <w:r>
        <w:rPr>
          <w:rFonts w:ascii="Verdana" w:hAnsi="Verdana"/>
          <w:b/>
          <w:color w:val="333333"/>
          <w:szCs w:val="21"/>
        </w:rPr>
        <w:br/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．财务管理的研究对象、企业的组织形式、财务管理的目标与代理问题</w:t>
      </w:r>
      <w:r>
        <w:rPr>
          <w:color w:val="333333"/>
          <w:szCs w:val="21"/>
        </w:rPr>
        <w:br/>
        <w:t>2</w:t>
      </w:r>
      <w:r>
        <w:rPr>
          <w:rFonts w:hAnsi="Verdana"/>
          <w:color w:val="333333"/>
          <w:szCs w:val="21"/>
        </w:rPr>
        <w:t>．金融市场</w:t>
      </w:r>
      <w:r>
        <w:rPr>
          <w:color w:val="333333"/>
          <w:szCs w:val="21"/>
        </w:rPr>
        <w:br/>
        <w:t>3</w:t>
      </w:r>
      <w:r>
        <w:rPr>
          <w:rFonts w:hAnsi="Verdana"/>
          <w:color w:val="333333"/>
          <w:szCs w:val="21"/>
        </w:rPr>
        <w:t>．财务报表分析与长期财务计划</w:t>
      </w:r>
    </w:p>
    <w:p w:rsidR="001848AF" w:rsidRDefault="007D2DC4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．资金的时间价值与股票、债券的估值</w:t>
      </w:r>
    </w:p>
    <w:p w:rsidR="001848AF" w:rsidRDefault="001848AF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）资金的时间价值</w:t>
      </w:r>
    </w:p>
    <w:p w:rsidR="001848AF" w:rsidRDefault="001848AF" w:rsidP="00575B63">
      <w:pPr>
        <w:ind w:leftChars="300" w:left="1260" w:hangingChars="300" w:hanging="63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）股</w:t>
      </w:r>
      <w:r w:rsidR="00241FA9">
        <w:rPr>
          <w:rFonts w:hint="eastAsia"/>
        </w:rPr>
        <w:t>票</w:t>
      </w:r>
      <w:r>
        <w:rPr>
          <w:rFonts w:hint="eastAsia"/>
        </w:rPr>
        <w:t>估</w:t>
      </w:r>
      <w:r w:rsidR="00241FA9">
        <w:rPr>
          <w:rFonts w:hint="eastAsia"/>
        </w:rPr>
        <w:t>值</w:t>
      </w:r>
      <w:r>
        <w:rPr>
          <w:rFonts w:hint="eastAsia"/>
        </w:rPr>
        <w:t>模型：股息贴现模型、固定增长与不定增长模型</w:t>
      </w:r>
      <w:r w:rsidR="00241FA9">
        <w:rPr>
          <w:rFonts w:hint="eastAsia"/>
        </w:rPr>
        <w:t>、</w:t>
      </w:r>
      <w:r>
        <w:rPr>
          <w:rFonts w:hint="eastAsia"/>
        </w:rPr>
        <w:t>市盈率方法</w:t>
      </w:r>
      <w:r w:rsidR="00241FA9">
        <w:rPr>
          <w:rFonts w:hint="eastAsia"/>
        </w:rPr>
        <w:t>、</w:t>
      </w:r>
      <w:r>
        <w:rPr>
          <w:rFonts w:hint="eastAsia"/>
        </w:rPr>
        <w:t>自由现金流估价方法</w:t>
      </w:r>
      <w:r w:rsidR="00241FA9">
        <w:rPr>
          <w:rFonts w:hint="eastAsia"/>
        </w:rPr>
        <w:t>等。</w:t>
      </w:r>
    </w:p>
    <w:p w:rsidR="00241FA9" w:rsidRDefault="00241FA9" w:rsidP="00575B63">
      <w:pPr>
        <w:ind w:leftChars="300" w:left="84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）债券定价</w:t>
      </w:r>
    </w:p>
    <w:p w:rsidR="00C40997" w:rsidRDefault="00C40997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rFonts w:hAnsi="Verdana" w:hint="eastAsia"/>
          <w:color w:val="333333"/>
          <w:szCs w:val="21"/>
        </w:rPr>
        <w:t>5</w:t>
      </w:r>
      <w:r>
        <w:rPr>
          <w:rFonts w:hAnsi="Verdana" w:hint="eastAsia"/>
          <w:color w:val="333333"/>
          <w:szCs w:val="21"/>
        </w:rPr>
        <w:t>、</w:t>
      </w:r>
      <w:r>
        <w:rPr>
          <w:rFonts w:hAnsi="Verdana"/>
          <w:color w:val="333333"/>
          <w:szCs w:val="21"/>
        </w:rPr>
        <w:t>风险与收益的度量</w:t>
      </w:r>
    </w:p>
    <w:p w:rsidR="007D2DC4" w:rsidRDefault="007D2DC4" w:rsidP="00C40997">
      <w:pPr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二、长期投资决策</w:t>
      </w:r>
      <w:r>
        <w:rPr>
          <w:rFonts w:ascii="Verdana" w:hAnsi="Verdana"/>
          <w:b/>
          <w:color w:val="333333"/>
          <w:szCs w:val="21"/>
        </w:rPr>
        <w:br/>
      </w:r>
      <w:r>
        <w:rPr>
          <w:rFonts w:ascii="Verdana" w:hAnsi="Verdana" w:hint="eastAsia"/>
          <w:color w:val="333333"/>
          <w:szCs w:val="21"/>
        </w:rPr>
        <w:t xml:space="preserve"> </w:t>
      </w:r>
      <w:r w:rsidR="00575B63">
        <w:rPr>
          <w:rFonts w:ascii="Verdana" w:hAnsi="Verdana"/>
          <w:color w:val="333333"/>
          <w:szCs w:val="21"/>
        </w:rPr>
        <w:t xml:space="preserve">  </w:t>
      </w:r>
      <w:r>
        <w:rPr>
          <w:rFonts w:ascii="Verdana" w:hAnsi="Verdana"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．资本预算决策方法及其评价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）投资回收期法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）净现值法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）内部报酬率法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）盈利指数法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</w:t>
      </w:r>
      <w:r>
        <w:rPr>
          <w:rFonts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．现金流分析和投资决策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 xml:space="preserve">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）增量现金流估算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）资本预算的风险分析</w:t>
      </w:r>
    </w:p>
    <w:p w:rsidR="007D2DC4" w:rsidRDefault="00BA0C90" w:rsidP="00C40997">
      <w:pPr>
        <w:rPr>
          <w:b/>
          <w:color w:val="333333"/>
          <w:szCs w:val="21"/>
        </w:rPr>
      </w:pPr>
      <w:r>
        <w:rPr>
          <w:rFonts w:hAnsi="Verdana" w:hint="eastAsia"/>
          <w:b/>
          <w:color w:val="333333"/>
          <w:szCs w:val="21"/>
        </w:rPr>
        <w:t>三</w:t>
      </w:r>
      <w:r w:rsidR="007D2DC4">
        <w:rPr>
          <w:rFonts w:hAnsi="Verdana"/>
          <w:b/>
          <w:color w:val="333333"/>
          <w:szCs w:val="21"/>
        </w:rPr>
        <w:t>、长期筹资决策</w:t>
      </w:r>
    </w:p>
    <w:p w:rsidR="00575B63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）个别资本成本的概念与估算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）边际资本成本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）加权平均资本成本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．长期债务、优先股与普通股基本概念与发行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．杠杆效应分析（经营杠杆、财务杠杆、总杠杆效应）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．资本结构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）资本结构理论：</w:t>
      </w:r>
      <w:r>
        <w:rPr>
          <w:color w:val="333333"/>
          <w:szCs w:val="21"/>
        </w:rPr>
        <w:t>MM</w:t>
      </w:r>
      <w:r>
        <w:rPr>
          <w:rFonts w:hAnsi="Verdana"/>
          <w:color w:val="333333"/>
          <w:szCs w:val="21"/>
        </w:rPr>
        <w:t>理论、财务拮据与代理成本、权衡理论、优先融资理论等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）最优资本结构</w:t>
      </w:r>
    </w:p>
    <w:p w:rsidR="007D2DC4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5</w:t>
      </w:r>
      <w:r>
        <w:rPr>
          <w:rFonts w:hAnsi="Verdana"/>
          <w:color w:val="333333"/>
          <w:szCs w:val="21"/>
        </w:rPr>
        <w:t>．股利政策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）股利的种类与股利支付程序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）有关股利政策理论（股利相关理论、股利不相关理论）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）股利政策以及影响股利政策的因素</w:t>
      </w:r>
    </w:p>
    <w:p w:rsidR="007D2DC4" w:rsidRDefault="007D2DC4"/>
    <w:p w:rsidR="007D2DC4" w:rsidRDefault="007D2DC4"/>
    <w:sectPr w:rsidR="007D2DC4" w:rsidSect="00A52D5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BC" w:rsidRDefault="000909BC">
      <w:r>
        <w:separator/>
      </w:r>
    </w:p>
  </w:endnote>
  <w:endnote w:type="continuationSeparator" w:id="0">
    <w:p w:rsidR="000909BC" w:rsidRDefault="0009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BC" w:rsidRDefault="000909BC">
      <w:r>
        <w:separator/>
      </w:r>
    </w:p>
  </w:footnote>
  <w:footnote w:type="continuationSeparator" w:id="0">
    <w:p w:rsidR="000909BC" w:rsidRDefault="0009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C4" w:rsidRDefault="007D2DC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6D3"/>
    <w:multiLevelType w:val="multilevel"/>
    <w:tmpl w:val="08ED26D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B19EA"/>
    <w:multiLevelType w:val="multilevel"/>
    <w:tmpl w:val="0A8B19EA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0B7D02"/>
    <w:multiLevelType w:val="multilevel"/>
    <w:tmpl w:val="1C0B7D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E3FB7"/>
    <w:multiLevelType w:val="multilevel"/>
    <w:tmpl w:val="237E3FB7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3F3402"/>
    <w:multiLevelType w:val="multilevel"/>
    <w:tmpl w:val="2C3F340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3A0276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8C48D5"/>
    <w:multiLevelType w:val="multilevel"/>
    <w:tmpl w:val="418C48D5"/>
    <w:lvl w:ilvl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A02791"/>
    <w:multiLevelType w:val="multilevel"/>
    <w:tmpl w:val="42A027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FCC1A17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4CF3EDE"/>
    <w:multiLevelType w:val="multilevel"/>
    <w:tmpl w:val="54CF3EDE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43E7223"/>
    <w:multiLevelType w:val="multilevel"/>
    <w:tmpl w:val="643E7223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8EE522B"/>
    <w:multiLevelType w:val="multilevel"/>
    <w:tmpl w:val="68EE522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9F36521"/>
    <w:multiLevelType w:val="multilevel"/>
    <w:tmpl w:val="69F3652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8C20933"/>
    <w:multiLevelType w:val="multilevel"/>
    <w:tmpl w:val="78C2093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01"/>
    <w:rsid w:val="00001016"/>
    <w:rsid w:val="000209DC"/>
    <w:rsid w:val="000317C2"/>
    <w:rsid w:val="00044EEA"/>
    <w:rsid w:val="00053888"/>
    <w:rsid w:val="00061DFE"/>
    <w:rsid w:val="0008582A"/>
    <w:rsid w:val="000909BC"/>
    <w:rsid w:val="000951D8"/>
    <w:rsid w:val="00101F5B"/>
    <w:rsid w:val="001138F3"/>
    <w:rsid w:val="00115E1F"/>
    <w:rsid w:val="00144A5F"/>
    <w:rsid w:val="00151615"/>
    <w:rsid w:val="00160436"/>
    <w:rsid w:val="00160C61"/>
    <w:rsid w:val="00164180"/>
    <w:rsid w:val="001735AC"/>
    <w:rsid w:val="001818AD"/>
    <w:rsid w:val="001848AF"/>
    <w:rsid w:val="001911FC"/>
    <w:rsid w:val="001949C5"/>
    <w:rsid w:val="00197FAF"/>
    <w:rsid w:val="001B1E79"/>
    <w:rsid w:val="001C62E0"/>
    <w:rsid w:val="00235F5D"/>
    <w:rsid w:val="00241FA9"/>
    <w:rsid w:val="0025576A"/>
    <w:rsid w:val="00256B72"/>
    <w:rsid w:val="00266282"/>
    <w:rsid w:val="00266B24"/>
    <w:rsid w:val="0027549D"/>
    <w:rsid w:val="00283105"/>
    <w:rsid w:val="002C205B"/>
    <w:rsid w:val="002D2ABC"/>
    <w:rsid w:val="00347D4A"/>
    <w:rsid w:val="003776C0"/>
    <w:rsid w:val="003A791B"/>
    <w:rsid w:val="003E3EAF"/>
    <w:rsid w:val="003E601F"/>
    <w:rsid w:val="003F3849"/>
    <w:rsid w:val="004013C7"/>
    <w:rsid w:val="00416C25"/>
    <w:rsid w:val="00433A29"/>
    <w:rsid w:val="0046669C"/>
    <w:rsid w:val="0049098E"/>
    <w:rsid w:val="004A389E"/>
    <w:rsid w:val="004A5440"/>
    <w:rsid w:val="004F4203"/>
    <w:rsid w:val="00512DCB"/>
    <w:rsid w:val="00533BBE"/>
    <w:rsid w:val="00575B63"/>
    <w:rsid w:val="005924D0"/>
    <w:rsid w:val="005D29A8"/>
    <w:rsid w:val="005F1ED8"/>
    <w:rsid w:val="00600FA3"/>
    <w:rsid w:val="00633370"/>
    <w:rsid w:val="00652B1C"/>
    <w:rsid w:val="00653D1B"/>
    <w:rsid w:val="00656CD0"/>
    <w:rsid w:val="006700BB"/>
    <w:rsid w:val="00683EE0"/>
    <w:rsid w:val="00685F73"/>
    <w:rsid w:val="006A0A30"/>
    <w:rsid w:val="006B16D1"/>
    <w:rsid w:val="006B79BA"/>
    <w:rsid w:val="006D073A"/>
    <w:rsid w:val="006E393B"/>
    <w:rsid w:val="006E5529"/>
    <w:rsid w:val="00705575"/>
    <w:rsid w:val="00710D92"/>
    <w:rsid w:val="00751803"/>
    <w:rsid w:val="00767329"/>
    <w:rsid w:val="0079474B"/>
    <w:rsid w:val="007B37BC"/>
    <w:rsid w:val="007C6A41"/>
    <w:rsid w:val="007D2DC4"/>
    <w:rsid w:val="00802CC5"/>
    <w:rsid w:val="00805B94"/>
    <w:rsid w:val="00815A01"/>
    <w:rsid w:val="00823C72"/>
    <w:rsid w:val="00837F98"/>
    <w:rsid w:val="008409EA"/>
    <w:rsid w:val="008506A0"/>
    <w:rsid w:val="00856BC6"/>
    <w:rsid w:val="00863A99"/>
    <w:rsid w:val="00865B35"/>
    <w:rsid w:val="00885E54"/>
    <w:rsid w:val="00887E1C"/>
    <w:rsid w:val="0089770F"/>
    <w:rsid w:val="008D715E"/>
    <w:rsid w:val="009002BB"/>
    <w:rsid w:val="009077BD"/>
    <w:rsid w:val="00944975"/>
    <w:rsid w:val="0094597B"/>
    <w:rsid w:val="00967EFC"/>
    <w:rsid w:val="00983A28"/>
    <w:rsid w:val="00984E4C"/>
    <w:rsid w:val="00985E2E"/>
    <w:rsid w:val="00991EA5"/>
    <w:rsid w:val="009B3520"/>
    <w:rsid w:val="009C737E"/>
    <w:rsid w:val="009D3940"/>
    <w:rsid w:val="009E0BB1"/>
    <w:rsid w:val="00A05E9C"/>
    <w:rsid w:val="00A52D5B"/>
    <w:rsid w:val="00A54793"/>
    <w:rsid w:val="00A56D11"/>
    <w:rsid w:val="00A57EC1"/>
    <w:rsid w:val="00A65155"/>
    <w:rsid w:val="00A7509A"/>
    <w:rsid w:val="00A86F4D"/>
    <w:rsid w:val="00AA45A7"/>
    <w:rsid w:val="00AB2D4A"/>
    <w:rsid w:val="00AB333A"/>
    <w:rsid w:val="00AF5233"/>
    <w:rsid w:val="00B13E11"/>
    <w:rsid w:val="00B2270C"/>
    <w:rsid w:val="00B234F4"/>
    <w:rsid w:val="00B724D7"/>
    <w:rsid w:val="00B766BF"/>
    <w:rsid w:val="00B84E64"/>
    <w:rsid w:val="00BA010E"/>
    <w:rsid w:val="00BA0C90"/>
    <w:rsid w:val="00BB265F"/>
    <w:rsid w:val="00BB4917"/>
    <w:rsid w:val="00BB6719"/>
    <w:rsid w:val="00BD2AAC"/>
    <w:rsid w:val="00C23EDD"/>
    <w:rsid w:val="00C40997"/>
    <w:rsid w:val="00C71115"/>
    <w:rsid w:val="00C73AB4"/>
    <w:rsid w:val="00C8450A"/>
    <w:rsid w:val="00C84A1A"/>
    <w:rsid w:val="00C96BDE"/>
    <w:rsid w:val="00CC109E"/>
    <w:rsid w:val="00CC6C4F"/>
    <w:rsid w:val="00CF72B3"/>
    <w:rsid w:val="00CF75A6"/>
    <w:rsid w:val="00D04587"/>
    <w:rsid w:val="00D134CA"/>
    <w:rsid w:val="00D27094"/>
    <w:rsid w:val="00D315BB"/>
    <w:rsid w:val="00D35746"/>
    <w:rsid w:val="00D376F1"/>
    <w:rsid w:val="00D41CC3"/>
    <w:rsid w:val="00D42A41"/>
    <w:rsid w:val="00D43946"/>
    <w:rsid w:val="00DE7236"/>
    <w:rsid w:val="00E248E3"/>
    <w:rsid w:val="00E47E33"/>
    <w:rsid w:val="00E54852"/>
    <w:rsid w:val="00E6555E"/>
    <w:rsid w:val="00E72694"/>
    <w:rsid w:val="00E7393C"/>
    <w:rsid w:val="00E813E0"/>
    <w:rsid w:val="00EA1E7F"/>
    <w:rsid w:val="00EA5317"/>
    <w:rsid w:val="00EC145E"/>
    <w:rsid w:val="00EC256C"/>
    <w:rsid w:val="00EC561C"/>
    <w:rsid w:val="00ED75C6"/>
    <w:rsid w:val="00EE7071"/>
    <w:rsid w:val="00EF1205"/>
    <w:rsid w:val="00F01AC1"/>
    <w:rsid w:val="00F2086E"/>
    <w:rsid w:val="00F43595"/>
    <w:rsid w:val="00F523B5"/>
    <w:rsid w:val="00F62D69"/>
    <w:rsid w:val="00F632A2"/>
    <w:rsid w:val="00FC607B"/>
    <w:rsid w:val="00FC725A"/>
    <w:rsid w:val="00FD2892"/>
    <w:rsid w:val="00FE7CBB"/>
    <w:rsid w:val="00FE7F82"/>
    <w:rsid w:val="16C3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A52D5B"/>
    <w:rPr>
      <w:rFonts w:ascii="宋体"/>
      <w:kern w:val="2"/>
      <w:sz w:val="18"/>
      <w:szCs w:val="18"/>
    </w:rPr>
  </w:style>
  <w:style w:type="character" w:customStyle="1" w:styleId="Char0">
    <w:name w:val="页眉 Char"/>
    <w:link w:val="a4"/>
    <w:rsid w:val="00A52D5B"/>
    <w:rPr>
      <w:kern w:val="2"/>
      <w:sz w:val="18"/>
      <w:szCs w:val="18"/>
    </w:rPr>
  </w:style>
  <w:style w:type="character" w:customStyle="1" w:styleId="med10">
    <w:name w:val="med10"/>
    <w:rsid w:val="00A52D5B"/>
    <w:rPr>
      <w:sz w:val="29"/>
      <w:szCs w:val="29"/>
    </w:rPr>
  </w:style>
  <w:style w:type="character" w:customStyle="1" w:styleId="Char1">
    <w:name w:val="页脚 Char"/>
    <w:link w:val="a5"/>
    <w:rsid w:val="00A52D5B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rsid w:val="00A52D5B"/>
    <w:rPr>
      <w:kern w:val="2"/>
      <w:sz w:val="18"/>
      <w:szCs w:val="18"/>
    </w:rPr>
  </w:style>
  <w:style w:type="character" w:customStyle="1" w:styleId="Char3">
    <w:name w:val="副标题 Char"/>
    <w:link w:val="a7"/>
    <w:rsid w:val="00A52D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med">
    <w:name w:val="med"/>
    <w:basedOn w:val="a0"/>
    <w:rsid w:val="00A52D5B"/>
  </w:style>
  <w:style w:type="character" w:customStyle="1" w:styleId="lrg">
    <w:name w:val="lrg"/>
    <w:basedOn w:val="a0"/>
    <w:rsid w:val="00A52D5B"/>
  </w:style>
  <w:style w:type="character" w:customStyle="1" w:styleId="lrg31">
    <w:name w:val="lrg31"/>
    <w:rsid w:val="00A52D5B"/>
    <w:rPr>
      <w:sz w:val="36"/>
      <w:szCs w:val="36"/>
    </w:rPr>
  </w:style>
  <w:style w:type="paragraph" w:styleId="a3">
    <w:name w:val="Document Map"/>
    <w:basedOn w:val="a"/>
    <w:link w:val="Char"/>
    <w:rsid w:val="00A52D5B"/>
    <w:rPr>
      <w:rFonts w:ascii="宋体"/>
      <w:sz w:val="18"/>
      <w:szCs w:val="18"/>
    </w:rPr>
  </w:style>
  <w:style w:type="paragraph" w:styleId="a6">
    <w:name w:val="Balloon Text"/>
    <w:basedOn w:val="a"/>
    <w:link w:val="Char2"/>
    <w:rsid w:val="00A52D5B"/>
    <w:rPr>
      <w:sz w:val="18"/>
      <w:szCs w:val="18"/>
    </w:rPr>
  </w:style>
  <w:style w:type="paragraph" w:styleId="a4">
    <w:name w:val="header"/>
    <w:basedOn w:val="a"/>
    <w:link w:val="Char0"/>
    <w:rsid w:val="00A5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A52D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link w:val="Char1"/>
    <w:rsid w:val="00A5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金融硕士，北京航空航天大学2011</dc:title>
  <dc:creator>谢岚</dc:creator>
  <cp:lastModifiedBy>buaa</cp:lastModifiedBy>
  <cp:revision>3</cp:revision>
  <dcterms:created xsi:type="dcterms:W3CDTF">2019-09-12T10:55:00Z</dcterms:created>
  <dcterms:modified xsi:type="dcterms:W3CDTF">2020-09-18T07:27:00Z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