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  <w:lang w:eastAsia="zh-CN"/>
        </w:rPr>
        <w:t>附件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2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</w:t>
      </w:r>
      <w:bookmarkStart w:id="0" w:name="_GoBack"/>
      <w:bookmarkEnd w:id="0"/>
      <w:r>
        <w:rPr>
          <w:rFonts w:hint="default" w:ascii="黑体" w:hAnsi="黑体" w:eastAsia="黑体" w:cs="黑体"/>
          <w:b/>
          <w:bCs/>
          <w:sz w:val="36"/>
          <w:szCs w:val="36"/>
          <w:lang w:val="en-US" w:eastAsia="zh-CN"/>
        </w:rPr>
        <w:t>考试注意事项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br w:type="textWrapping"/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一、考生要按照《考场规则)要求参加考试。随身携带的手机等考试规定以外的物品，请考生放置在考点指定的“考生物品放置处”。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二、考生将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手机等具有发送或接收信息功能的设备带人考场的按作弊论处。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考生要认真核对考试材料(科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目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名称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试题页码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答题卡张数等)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；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统考科目的思想政治理论(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01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）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、英语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(20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)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英语二(204)、管理类专业学位联考综合能力(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99)答题卡上要粘贴考生信息条形码和试卷条形码,其它统考科目只粘贴考生信息条形码，请考生认真核对。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四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硕士研究生招生考试统考科目实行网上评卷，考生须在指定位置认真准确地填涂姓名、考生编号等信息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，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按要求粘贴考生信息条形码和试卷条形码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，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并使用黑色字迹签字笔在答题卡(纸)规定的区域作答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；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凡漏贴条形码漏填(涂)、错填(涂)考生信息以及未在规定区域内答题而影响评卷结果的，责任由考生自负。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jc w:val="both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五、考生不得将试题、答题卡或答题纸、草稿纸带出考场，否则按《国家教育考试违规处理办法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》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予以处罚并记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入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国家教育考试考生诚信档案。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br w:type="textWrapping"/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br w:type="textWrapping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8F5DE76"/>
    <w:multiLevelType w:val="singleLevel"/>
    <w:tmpl w:val="D8F5DE7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6E2BF5"/>
    <w:rsid w:val="556E2BF5"/>
    <w:rsid w:val="58E439A7"/>
    <w:rsid w:val="7C8C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2020-12-10T08:12:00Z</dcterms:created>
  <dc:creator>蓝风向海</dc:creator>
  <cp:lastModifiedBy>蓝风向海</cp:lastModifiedBy>
  <dcterms:modified xsi:type="dcterms:W3CDTF">2020-12-10T08:20:30Z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