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-272415</wp:posOffset>
                </wp:positionV>
                <wp:extent cx="949960" cy="352425"/>
                <wp:effectExtent l="0" t="0" r="254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45pt;margin-top:-21.45pt;height:27.75pt;width:74.8pt;z-index:251659264;mso-width-relative:margin;mso-height-relative:margin;" fillcolor="#FFFFFF" filled="t" stroked="f" coordsize="21600,21600" o:gfxdata="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SF6BtUAAAAKAQAADwAAAAAAAAABACAAAAAiAAAAZHJzL2Rvd25yZXYueG1sUEsB&#10;AhQAFAAAAAgAh07iQBGIv4a/AQAAdgMAAA4AAAAAAAAAAQAgAAAAJA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sz w:val="36"/>
          <w:szCs w:val="36"/>
        </w:rPr>
        <w:t>贵州省2021年全国硕士研究生招生考试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考生诚信考试承诺书</w:t>
      </w:r>
    </w:p>
    <w:bookmarkEnd w:id="0"/>
    <w:p>
      <w:pPr>
        <w:spacing w:line="2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1.我已阅读考生报考条件，违规行为的认定与处理，在考试中，我要按照考试规定、履行考试义务，遵守考试纪律；</w:t>
      </w:r>
    </w:p>
    <w:p>
      <w:pPr>
        <w:spacing w:line="2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2.我在报考中所提供的本人信息材料是真实、准确的；</w:t>
      </w:r>
    </w:p>
    <w:p>
      <w:pPr>
        <w:spacing w:line="2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3.我在报考中若提供虚假信息材料和在考试中有违规或违纪行为，我愿接受处理并承担一切后果；</w:t>
      </w:r>
    </w:p>
    <w:p>
      <w:pPr>
        <w:spacing w:line="280" w:lineRule="exact"/>
        <w:ind w:left="420" w:leftChars="200" w:firstLine="120" w:firstLineChar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4.我自愿接受反作弊仪器的检测；</w:t>
      </w:r>
    </w:p>
    <w:p>
      <w:pPr>
        <w:spacing w:line="280" w:lineRule="exact"/>
        <w:ind w:left="420" w:leftChars="200" w:firstLine="120" w:firstLineChar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5.我本人签字承诺以上内容。</w:t>
      </w:r>
    </w:p>
    <w:p>
      <w:pPr>
        <w:spacing w:line="200" w:lineRule="exact"/>
        <w:rPr>
          <w:rFonts w:ascii="仿宋_GB2312" w:eastAsia="仿宋_GB2312"/>
          <w:sz w:val="24"/>
          <w:szCs w:val="24"/>
        </w:rPr>
      </w:pPr>
    </w:p>
    <w:p>
      <w:pPr>
        <w:spacing w:line="2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考生所在考点：</w:t>
      </w:r>
    </w:p>
    <w:p>
      <w:pPr>
        <w:spacing w:line="2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考生签字：                                       2020年   月   日</w:t>
      </w:r>
    </w:p>
    <w:p>
      <w:pPr>
        <w:spacing w:line="2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pacing w:line="28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备注：</w:t>
      </w:r>
      <w:r>
        <w:rPr>
          <w:rFonts w:hint="eastAsia" w:ascii="仿宋_GB2312" w:eastAsia="仿宋_GB2312"/>
          <w:sz w:val="24"/>
          <w:szCs w:val="24"/>
        </w:rPr>
        <w:t>①本承诺书一式两份，一份考生本人保管，一份由各考点保管。</w:t>
      </w:r>
    </w:p>
    <w:p>
      <w:pPr>
        <w:spacing w:line="280" w:lineRule="exact"/>
        <w:ind w:firstLine="528" w:firstLineChars="2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②承诺书一律用黑色炭素笔填写，不得涂改。</w:t>
      </w:r>
    </w:p>
    <w:p>
      <w:pPr>
        <w:spacing w:line="28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</w:t>
      </w:r>
    </w:p>
    <w:p>
      <w:pPr>
        <w:spacing w:line="28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    </w:t>
      </w:r>
      <w:r>
        <w:rPr>
          <w:rFonts w:hint="eastAsia" w:ascii="仿宋_GB2312" w:eastAsia="仿宋_GB2312"/>
          <w:b/>
          <w:sz w:val="24"/>
          <w:szCs w:val="24"/>
        </w:rPr>
        <w:t>贵州省招生考试院制</w:t>
      </w:r>
    </w:p>
    <w:p>
      <w:pPr>
        <w:spacing w:line="10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报 考 条 件 </w:t>
      </w:r>
    </w:p>
    <w:p>
      <w:pPr>
        <w:ind w:firstLine="422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b/>
          <w:szCs w:val="21"/>
        </w:rPr>
        <w:t>第一条</w:t>
      </w:r>
      <w:r>
        <w:rPr>
          <w:rFonts w:hint="eastAsia" w:ascii="仿宋_GB2312" w:eastAsia="仿宋_GB2312"/>
          <w:szCs w:val="21"/>
        </w:rPr>
        <w:t xml:space="preserve">  报名参加全国硕士研究生招生考试的人员，须符合下列条件：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（一）中华人民共和国公民。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（二）拥护中国共产党的领导，品德良好，遵纪守法。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（三）身体健康状况符合国家和招生单位规定的体检要求。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（四）考生学业水平必须符合下列条件之一：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国家承认学历的应届本科毕业生（含普通高校、成人高校、普通高校举办的成人高等学历教育等应届本科毕业生）及自学考试和网络教育届时可毕业本科生。考生录取当年入学前（具体期限由招生单位规定）必须取得国家承认的本科毕业证书或教育部留学服务中心出具的《国（境）外学历学位认证书》，否则录取资格无效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2.具有国家承认的大学本科毕业学历的人员。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获得国家承认的高职高专毕业学历后满2年（从毕业后到录取当年入学之日，下同）或2年以上的人员，以及国家承认学历的本科结业生，符合招生单位根据本单位的培养目标对考生提出的具体学业要求的，按本科毕业同等学力身份报考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4.已获硕士、博士学位的人员。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在校研究生报考须在报名前征得所在培养单位同意。</w:t>
      </w:r>
    </w:p>
    <w:p>
      <w:pPr>
        <w:spacing w:line="240" w:lineRule="exact"/>
        <w:ind w:firstLine="422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第二条</w:t>
      </w:r>
      <w:r>
        <w:rPr>
          <w:rFonts w:hint="eastAsia" w:ascii="仿宋_GB2312" w:eastAsia="仿宋_GB2312"/>
          <w:szCs w:val="21"/>
        </w:rPr>
        <w:t xml:space="preserve">  报名参加以下专业学位全国硕士研究生招生考试的，按下列规定执行。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（一）报名参加法律（非法学）专业学位硕士研究生招生考试的人员，须符合下列条件：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1.符合第一条中的各项要求。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2.报考前所学专业为非法学专业（普通高等学校本科专业目录法学门类中的法学类专业[代码为0301]毕业生、专科层次法学类毕业生和自学考试形式的法学类毕业生等不得报考）。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（二）报名参加法律（法学）专业学位硕士研究生招生考试的人员，须符合下列条件：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1.符合第一条中的各项要求。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2.报考前所学专业为法学专业（仅普通高等学校本科专业目录法学门类中的法学类专业[代码为0301]毕业生、专科层次法学类毕业生和自学考试形式的法学类毕业生等可以报考）。</w:t>
      </w:r>
    </w:p>
    <w:p>
      <w:pPr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三）报名参加工商管理、公共管理、工程管理硕士中的工程管理[代码为125601]和项目管理[代码为125602]、旅游管理、教育硕士中的教育管理、体育硕士中的竞赛组织专业学位硕士研究生招生考试的人员，须符合下列条件：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1.符合第一条中第（一）、（二）、（三）各项的要求。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大学本科毕业后有3年以上工作经验的人员；或获得国家承认的高职高专毕业学历或大学本科结业后，符合招生单位相关学业要求，达到大学本科毕业同等学力并有5年以上工作经验的人员；或获得硕士学位或博士学位后有2年以上工作经验的人员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工商管理硕士专业学位研究生相关考试招生政策同时按照《教育部关于进一步规范工商管理硕士专业学位研究生教育的意见》（教研〔2016〕2号）有关规定执行。</w:t>
      </w:r>
    </w:p>
    <w:p>
      <w:pPr>
        <w:rPr>
          <w:rFonts w:ascii="仿宋_GB2312" w:eastAsia="仿宋_GB2312"/>
        </w:rPr>
        <w:sectPr>
          <w:pgSz w:w="11906" w:h="16838"/>
          <w:pgMar w:top="1134" w:right="1474" w:bottom="567" w:left="1474" w:header="851" w:footer="850" w:gutter="0"/>
          <w:pgNumType w:fmt="numberInDash"/>
          <w:cols w:space="425" w:num="1"/>
          <w:docGrid w:linePitch="312" w:charSpace="0"/>
        </w:sectPr>
      </w:pPr>
    </w:p>
    <w:p>
      <w:r>
        <w:rPr>
          <w:rFonts w:ascii="仿宋_GB2312" w:eastAsia="仿宋_GB23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-571500</wp:posOffset>
            </wp:positionV>
            <wp:extent cx="6659245" cy="9401175"/>
            <wp:effectExtent l="0" t="0" r="825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E563B"/>
    <w:rsid w:val="1D4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2020-12-10T05:11:00Z</dcterms:created>
  <dc:creator>Pluto＇</dc:creator>
  <cp:lastModifiedBy>Pluto＇</cp:lastModifiedBy>
  <dcterms:modified xsi:type="dcterms:W3CDTF">2020-12-10T05:12:22Z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