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before="156" w:after="156" w:afterLines="50" w:line="300" w:lineRule="auto"/>
        <w:jc w:val="center"/>
        <w:rPr>
          <w:rFonts w:ascii="Times New Roman" w:hAnsi="Times New Roman" w:eastAsia="黑体"/>
          <w:sz w:val="24"/>
          <w:szCs w:val="24"/>
          <w:highlight w:val="none"/>
        </w:rPr>
      </w:pPr>
      <w:r>
        <w:rPr>
          <w:rFonts w:hint="eastAsia" w:ascii="Times New Roman" w:hAnsi="Times New Roman" w:eastAsia="黑体"/>
          <w:sz w:val="24"/>
          <w:szCs w:val="24"/>
          <w:highlight w:val="none"/>
        </w:rPr>
        <w:t>生物学院学生综合评价体系实施细则</w:t>
      </w:r>
    </w:p>
    <w:p>
      <w:pPr>
        <w:pStyle w:val="2"/>
        <w:keepNext w:val="0"/>
        <w:keepLines w:val="0"/>
        <w:spacing w:before="156" w:after="156" w:afterLines="50" w:line="300" w:lineRule="auto"/>
        <w:jc w:val="center"/>
        <w:rPr>
          <w:rFonts w:ascii="Times New Roman" w:hAnsi="Times New Roman" w:eastAsia="黑体"/>
          <w:sz w:val="22"/>
          <w:szCs w:val="24"/>
          <w:highlight w:val="none"/>
        </w:rPr>
      </w:pPr>
      <w:r>
        <w:rPr>
          <w:rFonts w:hint="eastAsia" w:ascii="Times New Roman" w:hAnsi="Times New Roman" w:eastAsia="黑体"/>
          <w:sz w:val="22"/>
          <w:szCs w:val="24"/>
          <w:highlight w:val="none"/>
        </w:rPr>
        <w:t>（</w:t>
      </w:r>
      <w:r>
        <w:rPr>
          <w:rFonts w:hint="eastAsia" w:ascii="Times New Roman" w:hAnsi="Times New Roman" w:eastAsia="黑体"/>
          <w:sz w:val="22"/>
          <w:szCs w:val="24"/>
          <w:highlight w:val="none"/>
          <w:lang w:val="en-US" w:eastAsia="zh-CN"/>
        </w:rPr>
        <w:t>2021</w:t>
      </w:r>
      <w:r>
        <w:rPr>
          <w:rFonts w:hint="eastAsia" w:ascii="Times New Roman" w:hAnsi="Times New Roman" w:eastAsia="黑体"/>
          <w:sz w:val="22"/>
          <w:szCs w:val="24"/>
          <w:highlight w:val="none"/>
        </w:rPr>
        <w:t>年</w:t>
      </w:r>
      <w:r>
        <w:rPr>
          <w:rFonts w:hint="eastAsia" w:ascii="Times New Roman" w:hAnsi="Times New Roman" w:eastAsia="黑体"/>
          <w:sz w:val="22"/>
          <w:szCs w:val="24"/>
          <w:highlight w:val="none"/>
          <w:lang w:val="en-US" w:eastAsia="zh-CN"/>
        </w:rPr>
        <w:t>1月</w:t>
      </w:r>
      <w:r>
        <w:rPr>
          <w:rFonts w:hint="eastAsia" w:ascii="Times New Roman" w:hAnsi="Times New Roman" w:eastAsia="黑体"/>
          <w:sz w:val="22"/>
          <w:szCs w:val="24"/>
          <w:highlight w:val="none"/>
        </w:rPr>
        <w:t>修订版）</w:t>
      </w:r>
    </w:p>
    <w:p>
      <w:pPr>
        <w:spacing w:beforeLines="0" w:line="300" w:lineRule="auto"/>
        <w:ind w:firstLine="319" w:firstLineChars="152"/>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为了全面贯彻党的教育方针，充分调动和发挥学生的主动性和创造性，促进学生德、智、体全面发展，根据学校相关规定，结合学院实际情况，制定本实施细则。</w:t>
      </w:r>
    </w:p>
    <w:p>
      <w:pPr>
        <w:spacing w:beforeLines="0" w:line="300" w:lineRule="auto"/>
        <w:ind w:firstLine="413" w:firstLineChars="196"/>
        <w:rPr>
          <w:rFonts w:ascii="楷体_GB2312" w:eastAsia="楷体_GB2312" w:cs="宋体"/>
          <w:b/>
          <w:kern w:val="0"/>
          <w:szCs w:val="21"/>
          <w:highlight w:val="none"/>
        </w:rPr>
      </w:pPr>
      <w:r>
        <w:rPr>
          <w:rFonts w:hint="eastAsia" w:ascii="楷体_GB2312" w:hAnsi="宋体" w:eastAsia="楷体_GB2312" w:cs="宋体"/>
          <w:b/>
          <w:kern w:val="0"/>
          <w:szCs w:val="21"/>
          <w:highlight w:val="none"/>
        </w:rPr>
        <w:t>一、基本原则</w:t>
      </w:r>
    </w:p>
    <w:p>
      <w:pPr>
        <w:spacing w:beforeLines="0" w:line="300" w:lineRule="auto"/>
        <w:ind w:firstLine="420" w:firstLineChars="200"/>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1．建立德、智、科、能四元制学生综合评价体系，对学生思想品行（德）、学业成绩（智）、科技创新与学科竞赛（科）、社会实践与文体活动（能）各目标要素进行全面、客观、综合评价。</w:t>
      </w:r>
    </w:p>
    <w:p>
      <w:pPr>
        <w:spacing w:beforeLines="0" w:line="300" w:lineRule="auto"/>
        <w:ind w:firstLine="420" w:firstLineChars="200"/>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2．采用基准分与加减分相结合的模式对学生德、智、科、能分别进行评价。基准分为学生各项的基础达标要求；加减分重点体现导向作用，引导学生全面发展。</w:t>
      </w:r>
    </w:p>
    <w:p>
      <w:pPr>
        <w:spacing w:beforeLines="0" w:line="300" w:lineRule="auto"/>
        <w:ind w:firstLine="420" w:firstLineChars="200"/>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3．根据奖学金评定、理科基地滚动、推荐免试研究生等不同测评需要，对四元评价目标赋予相应的权重，作为综合测评、排名依据。</w:t>
      </w:r>
    </w:p>
    <w:tbl>
      <w:tblPr>
        <w:tblStyle w:val="10"/>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101"/>
        <w:gridCol w:w="1583"/>
        <w:gridCol w:w="1294"/>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853"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类别</w:t>
            </w:r>
          </w:p>
        </w:tc>
        <w:tc>
          <w:tcPr>
            <w:tcW w:w="1101"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综合测评</w:t>
            </w:r>
          </w:p>
        </w:tc>
        <w:tc>
          <w:tcPr>
            <w:tcW w:w="1583"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理科基地滚动</w:t>
            </w:r>
          </w:p>
        </w:tc>
        <w:tc>
          <w:tcPr>
            <w:tcW w:w="1294"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免试推荐</w:t>
            </w:r>
          </w:p>
        </w:tc>
        <w:tc>
          <w:tcPr>
            <w:tcW w:w="3436"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853"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德</w:t>
            </w:r>
          </w:p>
        </w:tc>
        <w:tc>
          <w:tcPr>
            <w:tcW w:w="1101"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10%</w:t>
            </w:r>
          </w:p>
        </w:tc>
        <w:tc>
          <w:tcPr>
            <w:tcW w:w="1583"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10%</w:t>
            </w:r>
          </w:p>
        </w:tc>
        <w:tc>
          <w:tcPr>
            <w:tcW w:w="1294"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10%</w:t>
            </w:r>
          </w:p>
        </w:tc>
        <w:tc>
          <w:tcPr>
            <w:tcW w:w="3436" w:type="dxa"/>
            <w:vMerge w:val="restart"/>
          </w:tcPr>
          <w:p>
            <w:pPr>
              <w:spacing w:beforeLines="0" w:line="300" w:lineRule="auto"/>
              <w:jc w:val="center"/>
              <w:rPr>
                <w:rFonts w:ascii="楷体_GB2312" w:hAnsi="华文楷体" w:eastAsia="楷体_GB2312" w:cs="宋体"/>
                <w:bCs/>
                <w:kern w:val="0"/>
                <w:szCs w:val="21"/>
                <w:highlight w:val="none"/>
              </w:rPr>
            </w:pPr>
            <w:r>
              <w:rPr>
                <w:rFonts w:hint="eastAsia" w:ascii="楷体_GB2312" w:hAnsi="华文楷体" w:eastAsia="楷体_GB2312" w:cs="宋体"/>
                <w:bCs/>
                <w:kern w:val="0"/>
                <w:szCs w:val="21"/>
                <w:highlight w:val="none"/>
              </w:rPr>
              <w:t>理科基地滚动和推荐免试排名为当前累计排名，综合测评排名为当年度的排名。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853"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智</w:t>
            </w:r>
          </w:p>
        </w:tc>
        <w:tc>
          <w:tcPr>
            <w:tcW w:w="1101"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70%</w:t>
            </w:r>
          </w:p>
        </w:tc>
        <w:tc>
          <w:tcPr>
            <w:tcW w:w="1583"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70%</w:t>
            </w:r>
          </w:p>
        </w:tc>
        <w:tc>
          <w:tcPr>
            <w:tcW w:w="1294"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7</w:t>
            </w:r>
            <w:r>
              <w:rPr>
                <w:rFonts w:hint="eastAsia" w:ascii="楷体_GB2312" w:hAnsi="华文楷体" w:eastAsia="楷体_GB2312" w:cs="宋体"/>
                <w:bCs/>
                <w:kern w:val="0"/>
                <w:szCs w:val="21"/>
                <w:highlight w:val="none"/>
                <w:lang w:val="en-US" w:eastAsia="zh-CN"/>
              </w:rPr>
              <w:t>5</w:t>
            </w:r>
            <w:r>
              <w:rPr>
                <w:rFonts w:hint="eastAsia" w:ascii="楷体_GB2312" w:hAnsi="华文楷体" w:eastAsia="楷体_GB2312" w:cs="宋体"/>
                <w:bCs/>
                <w:kern w:val="0"/>
                <w:szCs w:val="21"/>
                <w:highlight w:val="none"/>
              </w:rPr>
              <w:t>%</w:t>
            </w:r>
          </w:p>
        </w:tc>
        <w:tc>
          <w:tcPr>
            <w:tcW w:w="3436" w:type="dxa"/>
            <w:vMerge w:val="continue"/>
          </w:tcPr>
          <w:p>
            <w:pPr>
              <w:spacing w:beforeLines="0" w:line="300" w:lineRule="auto"/>
              <w:ind w:firstLine="420" w:firstLineChars="200"/>
              <w:jc w:val="center"/>
              <w:rPr>
                <w:rFonts w:ascii="楷体_GB2312" w:hAnsi="华文楷体" w:eastAsia="楷体_GB2312"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853"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科</w:t>
            </w:r>
          </w:p>
        </w:tc>
        <w:tc>
          <w:tcPr>
            <w:tcW w:w="1101"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10%</w:t>
            </w:r>
          </w:p>
        </w:tc>
        <w:tc>
          <w:tcPr>
            <w:tcW w:w="1583"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15%</w:t>
            </w:r>
          </w:p>
        </w:tc>
        <w:tc>
          <w:tcPr>
            <w:tcW w:w="1294"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1</w:t>
            </w:r>
            <w:r>
              <w:rPr>
                <w:rFonts w:hint="eastAsia" w:ascii="楷体_GB2312" w:hAnsi="华文楷体" w:eastAsia="楷体_GB2312" w:cs="宋体"/>
                <w:bCs/>
                <w:kern w:val="0"/>
                <w:szCs w:val="21"/>
                <w:highlight w:val="none"/>
                <w:lang w:val="en-US" w:eastAsia="zh-CN"/>
              </w:rPr>
              <w:t>0</w:t>
            </w:r>
            <w:r>
              <w:rPr>
                <w:rFonts w:hint="eastAsia" w:ascii="楷体_GB2312" w:hAnsi="华文楷体" w:eastAsia="楷体_GB2312" w:cs="宋体"/>
                <w:bCs/>
                <w:kern w:val="0"/>
                <w:szCs w:val="21"/>
                <w:highlight w:val="none"/>
              </w:rPr>
              <w:t>%</w:t>
            </w:r>
          </w:p>
        </w:tc>
        <w:tc>
          <w:tcPr>
            <w:tcW w:w="3436" w:type="dxa"/>
            <w:vMerge w:val="continue"/>
          </w:tcPr>
          <w:p>
            <w:pPr>
              <w:spacing w:beforeLines="0" w:line="300" w:lineRule="auto"/>
              <w:ind w:firstLine="420" w:firstLineChars="200"/>
              <w:jc w:val="center"/>
              <w:rPr>
                <w:rFonts w:ascii="楷体_GB2312" w:hAnsi="华文楷体" w:eastAsia="楷体_GB2312"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853"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能</w:t>
            </w:r>
          </w:p>
        </w:tc>
        <w:tc>
          <w:tcPr>
            <w:tcW w:w="1101"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10%</w:t>
            </w:r>
          </w:p>
        </w:tc>
        <w:tc>
          <w:tcPr>
            <w:tcW w:w="1583"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5%</w:t>
            </w:r>
          </w:p>
        </w:tc>
        <w:tc>
          <w:tcPr>
            <w:tcW w:w="1294" w:type="dxa"/>
          </w:tcPr>
          <w:p>
            <w:pPr>
              <w:spacing w:beforeLines="0" w:line="300" w:lineRule="auto"/>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5%</w:t>
            </w:r>
          </w:p>
        </w:tc>
        <w:tc>
          <w:tcPr>
            <w:tcW w:w="3436" w:type="dxa"/>
            <w:vMerge w:val="continue"/>
          </w:tcPr>
          <w:p>
            <w:pPr>
              <w:spacing w:beforeLines="0" w:line="300" w:lineRule="auto"/>
              <w:ind w:firstLine="420" w:firstLineChars="200"/>
              <w:jc w:val="center"/>
              <w:rPr>
                <w:rFonts w:ascii="楷体_GB2312" w:hAnsi="华文楷体" w:eastAsia="楷体_GB2312"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8267" w:type="dxa"/>
            <w:gridSpan w:val="5"/>
          </w:tcPr>
          <w:p>
            <w:pPr>
              <w:numPr>
                <w:ilvl w:val="0"/>
                <w:numId w:val="1"/>
              </w:numPr>
              <w:spacing w:beforeLines="0" w:line="300" w:lineRule="auto"/>
              <w:ind w:firstLine="420" w:firstLineChars="200"/>
              <w:jc w:val="center"/>
              <w:rPr>
                <w:rFonts w:ascii="楷体_GB2312" w:hAnsi="华文楷体" w:eastAsia="楷体_GB2312" w:cs="宋体"/>
                <w:kern w:val="0"/>
                <w:szCs w:val="21"/>
                <w:highlight w:val="none"/>
              </w:rPr>
            </w:pPr>
            <w:r>
              <w:rPr>
                <w:rFonts w:hint="eastAsia" w:ascii="楷体_GB2312" w:hAnsi="华文楷体" w:eastAsia="楷体_GB2312" w:cs="宋体"/>
                <w:bCs/>
                <w:kern w:val="0"/>
                <w:szCs w:val="21"/>
                <w:highlight w:val="none"/>
              </w:rPr>
              <w:t>根据不同选材依据，给予各测评单元以不同权重</w:t>
            </w:r>
          </w:p>
        </w:tc>
      </w:tr>
    </w:tbl>
    <w:p>
      <w:pPr>
        <w:spacing w:beforeLines="0" w:line="300" w:lineRule="auto"/>
        <w:ind w:firstLine="420" w:firstLineChars="200"/>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4．在测评中坚持班级考评和学院考评相结合和公平、公正、公开原则。</w:t>
      </w:r>
    </w:p>
    <w:p>
      <w:pPr>
        <w:spacing w:beforeLines="0" w:line="300" w:lineRule="auto"/>
        <w:ind w:firstLine="420" w:firstLineChars="200"/>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5．本细则适用于生物学院所有在校本科生。</w:t>
      </w:r>
    </w:p>
    <w:p>
      <w:pPr>
        <w:spacing w:beforeLines="0" w:line="300" w:lineRule="auto"/>
        <w:ind w:firstLine="413" w:firstLineChars="196"/>
        <w:rPr>
          <w:rFonts w:ascii="楷体_GB2312" w:hAnsi="宋体" w:eastAsia="楷体_GB2312" w:cs="宋体"/>
          <w:b/>
          <w:kern w:val="0"/>
          <w:szCs w:val="21"/>
          <w:highlight w:val="none"/>
        </w:rPr>
      </w:pPr>
      <w:r>
        <w:rPr>
          <w:rFonts w:hint="eastAsia" w:ascii="楷体_GB2312" w:hAnsi="宋体" w:eastAsia="楷体_GB2312" w:cs="宋体"/>
          <w:b/>
          <w:kern w:val="0"/>
          <w:szCs w:val="21"/>
          <w:highlight w:val="none"/>
        </w:rPr>
        <w:t>二、评价内容和标准</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生物学院学生综合评价体系采用思想品行（德）、学业成绩（智）、科技创新与学科竞赛（科）、社会实践与文体活动（能）四个目标要素为评价阶元，对学生实行德、智、科、能四元综合评价（附件《生物学院学生综合评价表》），每个评价阶元分制满分为100分，由基准分和加减分两部分组成。</w:t>
      </w:r>
    </w:p>
    <w:p>
      <w:pPr>
        <w:spacing w:beforeLines="0" w:line="300" w:lineRule="auto"/>
        <w:ind w:firstLine="411" w:firstLineChars="196"/>
        <w:rPr>
          <w:rFonts w:ascii="楷体_GB2312" w:hAnsi="黑体" w:eastAsia="楷体_GB2312" w:cs="宋体"/>
          <w:kern w:val="0"/>
          <w:szCs w:val="21"/>
          <w:highlight w:val="none"/>
        </w:rPr>
      </w:pPr>
      <w:r>
        <w:rPr>
          <w:rFonts w:hint="eastAsia" w:ascii="楷体_GB2312" w:hAnsi="黑体" w:eastAsia="楷体_GB2312" w:cs="宋体"/>
          <w:kern w:val="0"/>
          <w:szCs w:val="21"/>
          <w:highlight w:val="none"/>
        </w:rPr>
        <w:t>1．思想品行评价（满分100分）</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1）基准分：60分。标准：热爱社会主义祖国，遵纪守法，品行端正，举止文明得体，关心集体，主动、积极参加集体活动。身心健康，诚实守信，谦虚谨慎，为人正直，办事公道；敬老爱幼，尊敬师长，团结同学，乐于助人。</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（2）加减分：根据思想品行项加减分项具体要求</w:t>
      </w:r>
      <w:r>
        <w:rPr>
          <w:rFonts w:hint="eastAsia" w:ascii="楷体_GB2312" w:hAnsi="华文楷体" w:eastAsia="楷体_GB2312" w:cs="宋体"/>
          <w:kern w:val="0"/>
          <w:szCs w:val="21"/>
          <w:highlight w:val="yellow"/>
        </w:rPr>
        <w:t>（附表1）</w:t>
      </w:r>
      <w:r>
        <w:rPr>
          <w:rFonts w:hint="eastAsia" w:ascii="楷体_GB2312" w:hAnsi="华文楷体" w:eastAsia="楷体_GB2312" w:cs="宋体"/>
          <w:kern w:val="0"/>
          <w:szCs w:val="21"/>
          <w:highlight w:val="none"/>
        </w:rPr>
        <w:t>测算，最高加分值使本项分数不超过100分，最大减分值使本项分数不低于0分。</w:t>
      </w:r>
    </w:p>
    <w:p>
      <w:pPr>
        <w:spacing w:beforeLines="0" w:line="300" w:lineRule="auto"/>
        <w:ind w:firstLine="411" w:firstLineChars="196"/>
        <w:rPr>
          <w:rFonts w:ascii="楷体_GB2312" w:hAnsi="黑体" w:eastAsia="楷体_GB2312" w:cs="宋体"/>
          <w:kern w:val="0"/>
          <w:szCs w:val="21"/>
          <w:highlight w:val="none"/>
        </w:rPr>
      </w:pPr>
      <w:r>
        <w:rPr>
          <w:rFonts w:hint="eastAsia" w:ascii="楷体_GB2312" w:hAnsi="黑体" w:eastAsia="楷体_GB2312" w:cs="宋体"/>
          <w:kern w:val="0"/>
          <w:szCs w:val="21"/>
          <w:highlight w:val="none"/>
        </w:rPr>
        <w:t>2．学习成绩评价（满分为100分）</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按GPA成绩换算成百分制（学业百分制=GPA成绩×25）。</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GPA成绩按教务处下发到各班的成绩单为依据进行核算。</w:t>
      </w:r>
    </w:p>
    <w:p>
      <w:pPr>
        <w:spacing w:beforeLines="0" w:line="300" w:lineRule="auto"/>
        <w:ind w:firstLine="411" w:firstLineChars="196"/>
        <w:rPr>
          <w:rFonts w:ascii="楷体_GB2312" w:hAnsi="黑体" w:eastAsia="楷体_GB2312" w:cs="宋体"/>
          <w:kern w:val="0"/>
          <w:szCs w:val="21"/>
          <w:highlight w:val="none"/>
        </w:rPr>
      </w:pPr>
      <w:r>
        <w:rPr>
          <w:rFonts w:hint="eastAsia" w:ascii="楷体_GB2312" w:hAnsi="黑体" w:eastAsia="楷体_GB2312" w:cs="宋体"/>
          <w:kern w:val="0"/>
          <w:szCs w:val="21"/>
          <w:highlight w:val="none"/>
        </w:rPr>
        <w:t>3．科技创新与学科竞赛（满分为100分）</w:t>
      </w:r>
    </w:p>
    <w:p>
      <w:pPr>
        <w:spacing w:beforeLines="0" w:line="300" w:lineRule="auto"/>
        <w:ind w:firstLine="411" w:firstLineChars="196"/>
        <w:rPr>
          <w:rFonts w:hint="default" w:ascii="楷体_GB2312" w:hAnsi="华文楷体" w:eastAsia="楷体_GB2312" w:cs="宋体"/>
          <w:kern w:val="0"/>
          <w:szCs w:val="21"/>
          <w:highlight w:val="none"/>
          <w:lang w:val="en-US" w:eastAsia="zh-CN"/>
        </w:rPr>
      </w:pPr>
      <w:r>
        <w:rPr>
          <w:rFonts w:hint="eastAsia" w:ascii="楷体_GB2312" w:hAnsi="华文楷体" w:eastAsia="楷体_GB2312" w:cs="宋体"/>
          <w:kern w:val="0"/>
          <w:szCs w:val="21"/>
          <w:highlight w:val="none"/>
        </w:rPr>
        <w:t>（1）基准分：60分。标准：按照培养方案科研训练培养环节要求，完成科研训练取得相应学分者取得基准分60分（三年级以上学生要求，其余年级学生进行综合评价时可直接按照基准分60分对应）。</w:t>
      </w:r>
      <w:r>
        <w:rPr>
          <w:rFonts w:hint="eastAsia" w:ascii="楷体_GB2312" w:hAnsi="华文楷体" w:eastAsia="楷体_GB2312" w:cs="宋体"/>
          <w:kern w:val="0"/>
          <w:szCs w:val="21"/>
          <w:highlight w:val="none"/>
          <w:lang w:val="en-US" w:eastAsia="zh-CN"/>
        </w:rPr>
        <w:t xml:space="preserve">推荐免试研究生综合测评成绩计算时，“科”项基准分加分参考下方 </w:t>
      </w:r>
      <w:r>
        <w:rPr>
          <w:rFonts w:hint="eastAsia" w:ascii="楷体_GB2312" w:hAnsi="华文楷体" w:eastAsia="楷体_GB2312" w:cs="宋体"/>
          <w:kern w:val="0"/>
          <w:szCs w:val="21"/>
          <w:highlight w:val="yellow"/>
          <w:lang w:val="en-US" w:eastAsia="zh-CN"/>
        </w:rPr>
        <w:t>附则4-（3）关于本科毕业生保研综测补充说明</w:t>
      </w:r>
      <w:r>
        <w:rPr>
          <w:rFonts w:hint="eastAsia" w:ascii="楷体_GB2312" w:hAnsi="华文楷体" w:eastAsia="楷体_GB2312" w:cs="宋体"/>
          <w:kern w:val="0"/>
          <w:szCs w:val="21"/>
          <w:highlight w:val="none"/>
          <w:lang w:val="en-US" w:eastAsia="zh-CN"/>
        </w:rPr>
        <w:t>。</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（2）加减分：参见科研创新与学科竞赛项加减分表</w:t>
      </w:r>
      <w:r>
        <w:rPr>
          <w:rFonts w:hint="eastAsia" w:ascii="楷体_GB2312" w:hAnsi="华文楷体" w:eastAsia="楷体_GB2312" w:cs="宋体"/>
          <w:kern w:val="0"/>
          <w:szCs w:val="21"/>
          <w:highlight w:val="yellow"/>
        </w:rPr>
        <w:t>（附表2）</w:t>
      </w:r>
      <w:r>
        <w:rPr>
          <w:rFonts w:hint="eastAsia" w:ascii="楷体_GB2312" w:hAnsi="华文楷体" w:eastAsia="楷体_GB2312" w:cs="宋体"/>
          <w:kern w:val="0"/>
          <w:szCs w:val="21"/>
          <w:highlight w:val="none"/>
        </w:rPr>
        <w:t>，最高加分值使本项分数不超过100分；最大减分值使本项分数不低于0分。</w:t>
      </w:r>
    </w:p>
    <w:p>
      <w:pPr>
        <w:spacing w:beforeLines="0" w:line="300" w:lineRule="auto"/>
        <w:ind w:firstLine="411" w:firstLineChars="196"/>
        <w:rPr>
          <w:rFonts w:ascii="楷体_GB2312" w:hAnsi="华文楷体" w:eastAsia="楷体_GB2312" w:cs="宋体"/>
          <w:kern w:val="0"/>
          <w:szCs w:val="21"/>
          <w:highlight w:val="none"/>
        </w:rPr>
      </w:pPr>
      <w:r>
        <w:rPr>
          <w:rFonts w:ascii="楷体_GB2312" w:hAnsi="华文楷体" w:eastAsia="楷体_GB2312" w:cs="宋体"/>
          <w:kern w:val="0"/>
          <w:szCs w:val="21"/>
          <w:highlight w:val="none"/>
        </w:rPr>
        <w:t>4</w:t>
      </w:r>
      <w:r>
        <w:rPr>
          <w:rFonts w:hint="eastAsia" w:ascii="楷体_GB2312" w:hAnsi="华文楷体" w:eastAsia="楷体_GB2312" w:cs="宋体"/>
          <w:kern w:val="0"/>
          <w:szCs w:val="21"/>
          <w:highlight w:val="none"/>
        </w:rPr>
        <w:t>．社会实践与文体活动（满分为</w:t>
      </w:r>
      <w:r>
        <w:rPr>
          <w:rFonts w:ascii="楷体_GB2312" w:hAnsi="华文楷体" w:eastAsia="楷体_GB2312" w:cs="宋体"/>
          <w:kern w:val="0"/>
          <w:szCs w:val="21"/>
          <w:highlight w:val="none"/>
        </w:rPr>
        <w:t>100</w:t>
      </w:r>
      <w:r>
        <w:rPr>
          <w:rFonts w:hint="eastAsia" w:ascii="楷体_GB2312" w:hAnsi="华文楷体" w:eastAsia="楷体_GB2312" w:cs="宋体"/>
          <w:kern w:val="0"/>
          <w:szCs w:val="21"/>
          <w:highlight w:val="none"/>
        </w:rPr>
        <w:t>分）</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w:t>
      </w:r>
      <w:r>
        <w:rPr>
          <w:rFonts w:ascii="楷体_GB2312" w:hAnsi="华文楷体" w:eastAsia="楷体_GB2312" w:cs="宋体"/>
          <w:kern w:val="0"/>
          <w:szCs w:val="21"/>
          <w:highlight w:val="none"/>
        </w:rPr>
        <w:t>1</w:t>
      </w:r>
      <w:r>
        <w:rPr>
          <w:rFonts w:hint="eastAsia" w:ascii="楷体_GB2312" w:hAnsi="华文楷体" w:eastAsia="楷体_GB2312" w:cs="宋体"/>
          <w:kern w:val="0"/>
          <w:szCs w:val="21"/>
          <w:highlight w:val="none"/>
        </w:rPr>
        <w:t>）基准分：6</w:t>
      </w:r>
      <w:r>
        <w:rPr>
          <w:rFonts w:ascii="楷体_GB2312" w:hAnsi="华文楷体" w:eastAsia="楷体_GB2312" w:cs="宋体"/>
          <w:kern w:val="0"/>
          <w:szCs w:val="21"/>
          <w:highlight w:val="none"/>
        </w:rPr>
        <w:t>0</w:t>
      </w:r>
      <w:r>
        <w:rPr>
          <w:rFonts w:hint="eastAsia" w:ascii="楷体_GB2312" w:hAnsi="华文楷体" w:eastAsia="楷体_GB2312" w:cs="宋体"/>
          <w:kern w:val="0"/>
          <w:szCs w:val="21"/>
          <w:highlight w:val="none"/>
        </w:rPr>
        <w:t>分。标准：</w:t>
      </w:r>
    </w:p>
    <w:p>
      <w:pPr>
        <w:spacing w:beforeLines="0" w:line="300" w:lineRule="auto"/>
        <w:ind w:left="412" w:left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a.评选学年（上一自然年5~12月）通过《国家大学生身体综合素质测评》15分（免测需提供相应学年免测证明，证明有效此项可得分）；</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b.评选学年期间参加文体活动1次及以上15分；</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c.评选学年期间参加文体竞赛1次及以上15分；</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d.评选学年期间参加志愿服务满4小时 15分；</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e.积极参加学校、学院组织的社会活动和社会实践15分（社会实践取得后持续有效）。</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注：5项中4项达标则获得基准分满分60分，多于60分者按60分计算。其中a项为必选项，未满足此项者在所得基础分的基础上减15分。</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w:t>
      </w:r>
      <w:r>
        <w:rPr>
          <w:rFonts w:ascii="楷体_GB2312" w:hAnsi="华文楷体" w:eastAsia="楷体_GB2312" w:cs="宋体"/>
          <w:kern w:val="0"/>
          <w:szCs w:val="21"/>
          <w:highlight w:val="none"/>
        </w:rPr>
        <w:t>2</w:t>
      </w:r>
      <w:r>
        <w:rPr>
          <w:rFonts w:hint="eastAsia" w:ascii="楷体_GB2312" w:hAnsi="华文楷体" w:eastAsia="楷体_GB2312" w:cs="宋体"/>
          <w:kern w:val="0"/>
          <w:szCs w:val="21"/>
          <w:highlight w:val="none"/>
        </w:rPr>
        <w:t>）加减分：参见社会实践与文体活动项加减分表（</w:t>
      </w:r>
      <w:r>
        <w:rPr>
          <w:rFonts w:hint="eastAsia" w:ascii="楷体_GB2312" w:hAnsi="华文楷体" w:eastAsia="楷体_GB2312" w:cs="宋体"/>
          <w:kern w:val="0"/>
          <w:szCs w:val="21"/>
          <w:highlight w:val="yellow"/>
        </w:rPr>
        <w:t>附表</w:t>
      </w:r>
      <w:r>
        <w:rPr>
          <w:rFonts w:ascii="楷体_GB2312" w:hAnsi="华文楷体" w:eastAsia="楷体_GB2312" w:cs="宋体"/>
          <w:kern w:val="0"/>
          <w:szCs w:val="21"/>
          <w:highlight w:val="yellow"/>
        </w:rPr>
        <w:t>3</w:t>
      </w:r>
      <w:r>
        <w:rPr>
          <w:rFonts w:hint="eastAsia" w:ascii="楷体_GB2312" w:hAnsi="华文楷体" w:eastAsia="楷体_GB2312" w:cs="宋体"/>
          <w:kern w:val="0"/>
          <w:szCs w:val="21"/>
          <w:highlight w:val="none"/>
        </w:rPr>
        <w:t>），最高加分值使本项分数不超过</w:t>
      </w:r>
      <w:r>
        <w:rPr>
          <w:rFonts w:ascii="楷体_GB2312" w:hAnsi="华文楷体" w:eastAsia="楷体_GB2312" w:cs="宋体"/>
          <w:kern w:val="0"/>
          <w:szCs w:val="21"/>
          <w:highlight w:val="none"/>
        </w:rPr>
        <w:t>100</w:t>
      </w:r>
      <w:r>
        <w:rPr>
          <w:rFonts w:hint="eastAsia" w:ascii="楷体_GB2312" w:hAnsi="华文楷体" w:eastAsia="楷体_GB2312" w:cs="宋体"/>
          <w:kern w:val="0"/>
          <w:szCs w:val="21"/>
          <w:highlight w:val="none"/>
        </w:rPr>
        <w:t>分；最大减分值，使本项分数不低于</w:t>
      </w:r>
      <w:r>
        <w:rPr>
          <w:rFonts w:ascii="楷体_GB2312" w:hAnsi="华文楷体" w:eastAsia="楷体_GB2312" w:cs="宋体"/>
          <w:kern w:val="0"/>
          <w:szCs w:val="21"/>
          <w:highlight w:val="none"/>
        </w:rPr>
        <w:t>0</w:t>
      </w:r>
      <w:r>
        <w:rPr>
          <w:rFonts w:hint="eastAsia" w:ascii="楷体_GB2312" w:hAnsi="华文楷体" w:eastAsia="楷体_GB2312" w:cs="宋体"/>
          <w:kern w:val="0"/>
          <w:szCs w:val="21"/>
          <w:highlight w:val="none"/>
        </w:rPr>
        <w:t>分。</w:t>
      </w:r>
    </w:p>
    <w:p>
      <w:pPr>
        <w:spacing w:beforeLines="0" w:line="300" w:lineRule="auto"/>
        <w:ind w:firstLine="413" w:firstLineChars="196"/>
        <w:rPr>
          <w:rFonts w:ascii="楷体_GB2312" w:hAnsi="宋体" w:eastAsia="楷体_GB2312" w:cs="宋体"/>
          <w:b/>
          <w:kern w:val="0"/>
          <w:szCs w:val="21"/>
          <w:highlight w:val="none"/>
        </w:rPr>
      </w:pPr>
      <w:r>
        <w:rPr>
          <w:rFonts w:hint="eastAsia" w:ascii="楷体_GB2312" w:hAnsi="宋体" w:eastAsia="楷体_GB2312" w:cs="宋体"/>
          <w:b/>
          <w:kern w:val="0"/>
          <w:szCs w:val="21"/>
          <w:highlight w:val="none"/>
        </w:rPr>
        <w:t>三、附则</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1．学生综合评价必须坚持实事求是的原则，凡弄虚作假者，取消其在该年度各种评奖评优资格；</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2．如同一项目获得多项荣誉（表彰），则只取最高项进行计算；</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3．测评时，学生填写《生物学院学生综合评价表》，详细说明加分理由，并须出具相关的证明（证书、文章的复印件或作品），否则视为无效；证明材料到相关单位开具，盖章有效。学院内各学生团体成员到学院分团委开具证明材料。</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4．测评基准分、加减分根据测评项目不同而异，基地滚动、奖学金综合测评按上一年度实际情况填报；</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推荐免试研究生综合测评成绩中：</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（1）2</w:t>
      </w:r>
      <w:r>
        <w:rPr>
          <w:rFonts w:ascii="楷体_GB2312" w:hAnsi="华文楷体" w:eastAsia="楷体_GB2312" w:cs="宋体"/>
          <w:kern w:val="0"/>
          <w:szCs w:val="21"/>
          <w:highlight w:val="none"/>
        </w:rPr>
        <w:t>018</w:t>
      </w:r>
      <w:r>
        <w:rPr>
          <w:rFonts w:hint="eastAsia" w:ascii="楷体_GB2312" w:hAnsi="华文楷体" w:eastAsia="楷体_GB2312" w:cs="宋体"/>
          <w:kern w:val="0"/>
          <w:szCs w:val="21"/>
          <w:highlight w:val="none"/>
        </w:rPr>
        <w:t>级本科生：思想品行项目（德）以及社会实践与文体活动项目（能）分数按照前三学年小分取平均值计算（计算时只对第三学年的分数核验，前两学年的分数以当年公示为准，不因综测条例的逐年修订而改动）；科技创新与学科竞赛项目（科）按照前三学年累加，根据最新版实施细则计算；</w:t>
      </w:r>
    </w:p>
    <w:p>
      <w:pPr>
        <w:numPr>
          <w:ilvl w:val="0"/>
          <w:numId w:val="2"/>
        </w:numPr>
        <w:spacing w:beforeLines="0" w:line="300" w:lineRule="auto"/>
        <w:ind w:firstLine="411" w:firstLineChars="196"/>
        <w:rPr>
          <w:rFonts w:hint="eastAsia"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自2</w:t>
      </w:r>
      <w:r>
        <w:rPr>
          <w:rFonts w:ascii="楷体_GB2312" w:hAnsi="华文楷体" w:eastAsia="楷体_GB2312" w:cs="宋体"/>
          <w:kern w:val="0"/>
          <w:szCs w:val="21"/>
          <w:highlight w:val="none"/>
        </w:rPr>
        <w:t>019</w:t>
      </w:r>
      <w:r>
        <w:rPr>
          <w:rFonts w:hint="eastAsia" w:ascii="楷体_GB2312" w:hAnsi="华文楷体" w:eastAsia="楷体_GB2312" w:cs="宋体"/>
          <w:kern w:val="0"/>
          <w:szCs w:val="21"/>
          <w:highlight w:val="none"/>
        </w:rPr>
        <w:t>级本科生起：思想品行项目（德）、科技创新与学科竞赛项目（科）以及社会实践与文体活动项目（能）分数按照前三学年小分取平均值计算</w:t>
      </w:r>
      <w:bookmarkStart w:id="0" w:name="_GoBack"/>
      <w:bookmarkEnd w:id="0"/>
      <w:r>
        <w:rPr>
          <w:rFonts w:hint="eastAsia" w:ascii="楷体_GB2312" w:hAnsi="华文楷体" w:eastAsia="楷体_GB2312" w:cs="宋体"/>
          <w:kern w:val="0"/>
          <w:szCs w:val="21"/>
          <w:highlight w:val="none"/>
        </w:rPr>
        <w:t>（计算时只对第三学年的分数核验，前两学年的分数以当年公示为准，不因综测条例的逐年修订而改动）。</w:t>
      </w:r>
    </w:p>
    <w:p>
      <w:pPr>
        <w:numPr>
          <w:ilvl w:val="0"/>
          <w:numId w:val="2"/>
        </w:numPr>
        <w:spacing w:beforeLines="0" w:line="300" w:lineRule="auto"/>
        <w:ind w:firstLine="411" w:firstLineChars="196"/>
        <w:rPr>
          <w:rFonts w:hint="eastAsia" w:ascii="楷体_GB2312" w:hAnsi="华文楷体" w:eastAsia="楷体_GB2312" w:cs="宋体"/>
          <w:kern w:val="0"/>
          <w:szCs w:val="21"/>
          <w:highlight w:val="none"/>
        </w:rPr>
      </w:pPr>
      <w:r>
        <w:rPr>
          <w:rFonts w:hint="eastAsia" w:ascii="楷体_GB2312" w:hAnsi="华文楷体" w:eastAsia="楷体_GB2312" w:cs="宋体"/>
          <w:kern w:val="0"/>
          <w:szCs w:val="21"/>
          <w:highlight w:val="none"/>
          <w:lang w:val="en-US" w:eastAsia="zh-CN"/>
        </w:rPr>
        <w:t>关于本科毕业生保研综测“科”项补充说明：</w:t>
      </w:r>
    </w:p>
    <w:p>
      <w:pPr>
        <w:spacing w:beforeLines="0" w:line="300" w:lineRule="auto"/>
        <w:ind w:firstLine="411" w:firstLineChars="196"/>
        <w:rPr>
          <w:rFonts w:hint="eastAsia"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完成校级URP、市创、国创且项目评审合格者</w:t>
      </w:r>
      <w:r>
        <w:rPr>
          <w:rFonts w:hint="eastAsia" w:ascii="楷体_GB2312" w:hAnsi="华文楷体" w:eastAsia="楷体_GB2312" w:cs="宋体"/>
          <w:kern w:val="0"/>
          <w:szCs w:val="21"/>
          <w:highlight w:val="none"/>
          <w:lang w:eastAsia="zh-CN"/>
        </w:rPr>
        <w:t>，</w:t>
      </w:r>
      <w:r>
        <w:rPr>
          <w:rFonts w:hint="eastAsia" w:ascii="楷体_GB2312" w:hAnsi="华文楷体" w:eastAsia="楷体_GB2312" w:cs="宋体"/>
          <w:kern w:val="0"/>
          <w:szCs w:val="21"/>
          <w:highlight w:val="none"/>
          <w:lang w:val="en-US" w:eastAsia="zh-CN"/>
        </w:rPr>
        <w:t>可取得</w:t>
      </w:r>
      <w:r>
        <w:rPr>
          <w:rFonts w:hint="eastAsia" w:ascii="楷体_GB2312" w:hAnsi="华文楷体" w:eastAsia="楷体_GB2312" w:cs="宋体"/>
          <w:kern w:val="0"/>
          <w:szCs w:val="21"/>
          <w:highlight w:val="none"/>
          <w:lang w:eastAsia="zh-CN"/>
        </w:rPr>
        <w:t>“</w:t>
      </w:r>
      <w:r>
        <w:rPr>
          <w:rFonts w:hint="eastAsia" w:ascii="楷体_GB2312" w:hAnsi="华文楷体" w:eastAsia="楷体_GB2312" w:cs="宋体"/>
          <w:kern w:val="0"/>
          <w:szCs w:val="21"/>
          <w:highlight w:val="none"/>
          <w:lang w:val="en-US" w:eastAsia="zh-CN"/>
        </w:rPr>
        <w:t>科</w:t>
      </w:r>
      <w:r>
        <w:rPr>
          <w:rFonts w:hint="eastAsia" w:ascii="楷体_GB2312" w:hAnsi="华文楷体" w:eastAsia="楷体_GB2312" w:cs="宋体"/>
          <w:kern w:val="0"/>
          <w:szCs w:val="21"/>
          <w:highlight w:val="none"/>
          <w:lang w:eastAsia="zh-CN"/>
        </w:rPr>
        <w:t>”</w:t>
      </w:r>
      <w:r>
        <w:rPr>
          <w:rFonts w:hint="eastAsia" w:ascii="楷体_GB2312" w:hAnsi="华文楷体" w:eastAsia="楷体_GB2312" w:cs="宋体"/>
          <w:kern w:val="0"/>
          <w:szCs w:val="21"/>
          <w:highlight w:val="none"/>
          <w:lang w:val="en-US" w:eastAsia="zh-CN"/>
        </w:rPr>
        <w:t>项基准分60分</w:t>
      </w:r>
      <w:r>
        <w:rPr>
          <w:rFonts w:hint="eastAsia" w:ascii="楷体_GB2312" w:hAnsi="华文楷体" w:eastAsia="楷体_GB2312" w:cs="宋体"/>
          <w:kern w:val="0"/>
          <w:szCs w:val="21"/>
          <w:highlight w:val="none"/>
        </w:rPr>
        <w:t>。</w:t>
      </w:r>
    </w:p>
    <w:p>
      <w:pPr>
        <w:spacing w:beforeLines="0" w:line="300" w:lineRule="auto"/>
        <w:ind w:firstLine="411" w:firstLineChars="196"/>
        <w:rPr>
          <w:rFonts w:hint="eastAsia"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申请而未完成校级URP、市创、国创者需提交实验记录本及由导师签字的《项目参与证明》，经综合测评工作组对实验记录进行核验，完成144学时（36天，每天4学时）科研训练可取得基准分60分；不足144学时</w:t>
      </w:r>
      <w:r>
        <w:rPr>
          <w:rFonts w:hint="eastAsia" w:ascii="楷体_GB2312" w:hAnsi="华文楷体" w:eastAsia="楷体_GB2312" w:cs="宋体"/>
          <w:kern w:val="0"/>
          <w:szCs w:val="21"/>
          <w:highlight w:val="none"/>
          <w:lang w:eastAsia="zh-CN"/>
        </w:rPr>
        <w:t>，</w:t>
      </w:r>
      <w:r>
        <w:rPr>
          <w:rFonts w:hint="eastAsia" w:ascii="楷体_GB2312" w:hAnsi="华文楷体" w:eastAsia="楷体_GB2312" w:cs="宋体"/>
          <w:kern w:val="0"/>
          <w:szCs w:val="21"/>
          <w:highlight w:val="none"/>
          <w:lang w:val="en-US" w:eastAsia="zh-CN"/>
        </w:rPr>
        <w:t>根据实际学时，按照</w:t>
      </w:r>
      <w:r>
        <w:rPr>
          <w:rFonts w:hint="eastAsia" w:ascii="楷体_GB2312" w:hAnsi="华文楷体" w:eastAsia="楷体_GB2312" w:cs="宋体"/>
          <w:kern w:val="0"/>
          <w:szCs w:val="21"/>
          <w:highlight w:val="none"/>
        </w:rPr>
        <w:t>比例计算予以加分，计算方式为：60分*（实际学时/144学时） 。</w:t>
      </w:r>
    </w:p>
    <w:p>
      <w:pPr>
        <w:spacing w:beforeLines="0" w:line="300" w:lineRule="auto"/>
        <w:ind w:firstLine="411" w:firstLineChars="196"/>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5.推荐免试研究生综合测评时，对于因转专业等原因导致缺失某一学年综合测评成绩的，应补充提交缺失学年综合测评证明材料，按照现行学生综合评价体系细则计算；对于留级、跳级或其他学制的，应按照此前全部学年得分平均；对于休学、保留学籍等原因导致某一学年综合测评成绩对应两版学生综合评价体系实施细则的，应按照现行新版实施细则计算。</w:t>
      </w:r>
    </w:p>
    <w:p>
      <w:pPr>
        <w:spacing w:beforeLines="0" w:line="300" w:lineRule="auto"/>
        <w:ind w:firstLine="411" w:firstLineChars="196"/>
        <w:rPr>
          <w:rFonts w:ascii="楷体_GB2312" w:hAnsi="华文楷体" w:eastAsia="楷体_GB2312" w:cs="宋体"/>
          <w:kern w:val="0"/>
          <w:szCs w:val="21"/>
          <w:highlight w:val="none"/>
        </w:rPr>
      </w:pPr>
      <w:r>
        <w:rPr>
          <w:rFonts w:ascii="楷体_GB2312" w:hAnsi="华文楷体" w:eastAsia="楷体_GB2312" w:cs="宋体"/>
          <w:kern w:val="0"/>
          <w:szCs w:val="21"/>
          <w:highlight w:val="none"/>
        </w:rPr>
        <w:t>6</w:t>
      </w:r>
      <w:r>
        <w:rPr>
          <w:rFonts w:hint="eastAsia" w:ascii="楷体_GB2312" w:hAnsi="华文楷体" w:eastAsia="楷体_GB2312" w:cs="宋体"/>
          <w:kern w:val="0"/>
          <w:szCs w:val="21"/>
          <w:highlight w:val="none"/>
        </w:rPr>
        <w:t>. 所有加减分项目分开计算，减分项不可被抵消。</w:t>
      </w:r>
    </w:p>
    <w:p>
      <w:pPr>
        <w:spacing w:beforeLines="0" w:line="300" w:lineRule="auto"/>
        <w:ind w:firstLine="411" w:firstLineChars="196"/>
        <w:rPr>
          <w:rFonts w:ascii="楷体_GB2312" w:hAnsi="华文楷体" w:eastAsia="楷体_GB2312" w:cs="宋体"/>
          <w:kern w:val="0"/>
          <w:szCs w:val="21"/>
          <w:highlight w:val="none"/>
        </w:rPr>
      </w:pPr>
      <w:r>
        <w:rPr>
          <w:rFonts w:ascii="楷体_GB2312" w:hAnsi="华文楷体" w:eastAsia="楷体_GB2312" w:cs="宋体"/>
          <w:kern w:val="0"/>
          <w:szCs w:val="21"/>
          <w:highlight w:val="none"/>
        </w:rPr>
        <w:t>7</w:t>
      </w:r>
      <w:r>
        <w:rPr>
          <w:rFonts w:hint="eastAsia" w:ascii="楷体_GB2312" w:hAnsi="华文楷体" w:eastAsia="楷体_GB2312" w:cs="宋体"/>
          <w:kern w:val="0"/>
          <w:szCs w:val="21"/>
          <w:highlight w:val="none"/>
        </w:rPr>
        <w:t>．学院学生工作组负责综合测评结果的审核。</w:t>
      </w:r>
    </w:p>
    <w:p>
      <w:pPr>
        <w:spacing w:beforeLines="0" w:line="300" w:lineRule="auto"/>
        <w:ind w:firstLine="411" w:firstLineChars="196"/>
        <w:rPr>
          <w:rFonts w:ascii="楷体_GB2312" w:hAnsi="华文楷体" w:eastAsia="楷体_GB2312" w:cs="宋体"/>
          <w:kern w:val="0"/>
          <w:szCs w:val="21"/>
          <w:highlight w:val="none"/>
        </w:rPr>
      </w:pPr>
      <w:r>
        <w:rPr>
          <w:rFonts w:ascii="楷体_GB2312" w:hAnsi="华文楷体" w:eastAsia="楷体_GB2312" w:cs="宋体"/>
          <w:kern w:val="0"/>
          <w:szCs w:val="21"/>
          <w:highlight w:val="none"/>
        </w:rPr>
        <w:t>8</w:t>
      </w:r>
      <w:r>
        <w:rPr>
          <w:rFonts w:hint="eastAsia" w:ascii="楷体_GB2312" w:hAnsi="华文楷体" w:eastAsia="楷体_GB2312" w:cs="宋体"/>
          <w:kern w:val="0"/>
          <w:szCs w:val="21"/>
          <w:highlight w:val="none"/>
        </w:rPr>
        <w:t>．本细则解释权归生物学院学生工作组。</w:t>
      </w:r>
    </w:p>
    <w:p>
      <w:pPr>
        <w:spacing w:beforeLines="0" w:line="300" w:lineRule="auto"/>
        <w:ind w:firstLine="411" w:firstLineChars="196"/>
        <w:rPr>
          <w:rFonts w:ascii="楷体_GB2312" w:hAnsi="华文楷体" w:eastAsia="楷体_GB2312" w:cs="宋体"/>
          <w:kern w:val="0"/>
          <w:szCs w:val="21"/>
          <w:highlight w:val="none"/>
        </w:rPr>
      </w:pPr>
      <w:r>
        <w:rPr>
          <w:rFonts w:ascii="楷体_GB2312" w:hAnsi="华文楷体" w:eastAsia="楷体_GB2312" w:cs="宋体"/>
          <w:kern w:val="0"/>
          <w:szCs w:val="21"/>
          <w:highlight w:val="none"/>
        </w:rPr>
        <w:t>9</w:t>
      </w:r>
      <w:r>
        <w:rPr>
          <w:rFonts w:hint="eastAsia" w:ascii="楷体_GB2312" w:hAnsi="华文楷体" w:eastAsia="楷体_GB2312" w:cs="宋体"/>
          <w:kern w:val="0"/>
          <w:szCs w:val="21"/>
          <w:highlight w:val="none"/>
        </w:rPr>
        <w:t>．本细则自20</w:t>
      </w:r>
      <w:r>
        <w:rPr>
          <w:rFonts w:hint="eastAsia" w:ascii="楷体_GB2312" w:hAnsi="华文楷体" w:eastAsia="楷体_GB2312" w:cs="宋体"/>
          <w:kern w:val="0"/>
          <w:szCs w:val="21"/>
          <w:highlight w:val="none"/>
          <w:lang w:val="en-US" w:eastAsia="zh-CN"/>
        </w:rPr>
        <w:t>21</w:t>
      </w:r>
      <w:r>
        <w:rPr>
          <w:rFonts w:hint="eastAsia" w:ascii="楷体_GB2312" w:hAnsi="华文楷体" w:eastAsia="楷体_GB2312" w:cs="宋体"/>
          <w:kern w:val="0"/>
          <w:szCs w:val="21"/>
          <w:highlight w:val="none"/>
        </w:rPr>
        <w:t>年1月起执行，作为202</w:t>
      </w:r>
      <w:r>
        <w:rPr>
          <w:rFonts w:hint="eastAsia" w:ascii="楷体_GB2312" w:hAnsi="华文楷体" w:eastAsia="楷体_GB2312" w:cs="宋体"/>
          <w:kern w:val="0"/>
          <w:szCs w:val="21"/>
          <w:highlight w:val="none"/>
          <w:lang w:val="en-US" w:eastAsia="zh-CN"/>
        </w:rPr>
        <w:t>1</w:t>
      </w:r>
      <w:r>
        <w:rPr>
          <w:rFonts w:hint="eastAsia" w:ascii="楷体_GB2312" w:hAnsi="华文楷体" w:eastAsia="楷体_GB2312" w:cs="宋体"/>
          <w:kern w:val="0"/>
          <w:szCs w:val="21"/>
          <w:highlight w:val="none"/>
        </w:rPr>
        <w:t>年综测评定依据。</w:t>
      </w:r>
    </w:p>
    <w:p>
      <w:pPr>
        <w:spacing w:beforeLines="0" w:line="300" w:lineRule="auto"/>
        <w:ind w:firstLine="411" w:firstLineChars="196"/>
        <w:rPr>
          <w:rFonts w:ascii="楷体_GB2312" w:hAnsi="华文楷体" w:eastAsia="楷体_GB2312" w:cs="宋体"/>
          <w:kern w:val="0"/>
          <w:szCs w:val="21"/>
          <w:highlight w:val="none"/>
        </w:rPr>
      </w:pPr>
    </w:p>
    <w:p>
      <w:pPr>
        <w:widowControl/>
        <w:spacing w:beforeLines="0" w:line="240" w:lineRule="auto"/>
        <w:jc w:val="right"/>
        <w:rPr>
          <w:rFonts w:ascii="楷体_GB2312" w:hAnsi="华文楷体" w:eastAsia="楷体_GB2312" w:cs="宋体"/>
          <w:kern w:val="0"/>
          <w:szCs w:val="21"/>
          <w:highlight w:val="none"/>
        </w:rPr>
      </w:pPr>
      <w:r>
        <w:rPr>
          <w:rFonts w:hint="eastAsia" w:ascii="楷体_GB2312" w:hAnsi="华文楷体" w:eastAsia="楷体_GB2312" w:cs="宋体"/>
          <w:kern w:val="0"/>
          <w:szCs w:val="21"/>
          <w:highlight w:val="none"/>
        </w:rPr>
        <w:t>中国农业大学生物学院</w:t>
      </w:r>
    </w:p>
    <w:p>
      <w:pPr>
        <w:widowControl/>
        <w:spacing w:beforeLines="0" w:line="240" w:lineRule="auto"/>
        <w:jc w:val="right"/>
        <w:rPr>
          <w:rFonts w:ascii="楷体_GB2312" w:hAnsi="华文楷体" w:eastAsia="楷体_GB2312" w:cs="宋体"/>
          <w:kern w:val="0"/>
          <w:szCs w:val="21"/>
          <w:highlight w:val="none"/>
        </w:rPr>
      </w:pPr>
      <w:r>
        <w:rPr>
          <w:rFonts w:ascii="楷体_GB2312" w:hAnsi="华文楷体" w:eastAsia="楷体_GB2312" w:cs="宋体"/>
          <w:kern w:val="0"/>
          <w:szCs w:val="21"/>
          <w:highlight w:val="none"/>
        </w:rPr>
        <w:t>20</w:t>
      </w:r>
      <w:r>
        <w:rPr>
          <w:rFonts w:hint="eastAsia" w:ascii="楷体_GB2312" w:hAnsi="华文楷体" w:eastAsia="楷体_GB2312" w:cs="宋体"/>
          <w:kern w:val="0"/>
          <w:szCs w:val="21"/>
          <w:highlight w:val="none"/>
          <w:lang w:val="en-US" w:eastAsia="zh-CN"/>
        </w:rPr>
        <w:t>21</w:t>
      </w:r>
      <w:r>
        <w:rPr>
          <w:rFonts w:ascii="楷体_GB2312" w:hAnsi="华文楷体" w:eastAsia="楷体_GB2312" w:cs="宋体"/>
          <w:kern w:val="0"/>
          <w:szCs w:val="21"/>
          <w:highlight w:val="none"/>
        </w:rPr>
        <w:t>年1月</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62951"/>
    <w:multiLevelType w:val="multilevel"/>
    <w:tmpl w:val="29962951"/>
    <w:lvl w:ilvl="0" w:tentative="0">
      <w:start w:val="1"/>
      <w:numFmt w:val="bullet"/>
      <w:lvlText w:val=""/>
      <w:lvlJc w:val="left"/>
      <w:pPr>
        <w:tabs>
          <w:tab w:val="left" w:pos="720"/>
        </w:tabs>
        <w:ind w:left="720" w:hanging="360"/>
      </w:pPr>
      <w:rPr>
        <w:rFonts w:hint="default" w:ascii="Wingdings 2" w:hAnsi="Wingdings 2"/>
      </w:rPr>
    </w:lvl>
    <w:lvl w:ilvl="1" w:tentative="0">
      <w:start w:val="1"/>
      <w:numFmt w:val="bullet"/>
      <w:lvlText w:val=""/>
      <w:lvlJc w:val="left"/>
      <w:pPr>
        <w:tabs>
          <w:tab w:val="left" w:pos="1440"/>
        </w:tabs>
        <w:ind w:left="1440" w:hanging="360"/>
      </w:pPr>
      <w:rPr>
        <w:rFonts w:hint="default" w:ascii="Wingdings 2" w:hAnsi="Wingdings 2"/>
      </w:rPr>
    </w:lvl>
    <w:lvl w:ilvl="2" w:tentative="0">
      <w:start w:val="1"/>
      <w:numFmt w:val="bullet"/>
      <w:lvlText w:val=""/>
      <w:lvlJc w:val="left"/>
      <w:pPr>
        <w:tabs>
          <w:tab w:val="left" w:pos="2160"/>
        </w:tabs>
        <w:ind w:left="2160" w:hanging="360"/>
      </w:pPr>
      <w:rPr>
        <w:rFonts w:hint="default" w:ascii="Wingdings 2" w:hAnsi="Wingdings 2"/>
      </w:rPr>
    </w:lvl>
    <w:lvl w:ilvl="3" w:tentative="0">
      <w:start w:val="1"/>
      <w:numFmt w:val="bullet"/>
      <w:lvlText w:val=""/>
      <w:lvlJc w:val="left"/>
      <w:pPr>
        <w:tabs>
          <w:tab w:val="left" w:pos="2880"/>
        </w:tabs>
        <w:ind w:left="2880" w:hanging="360"/>
      </w:pPr>
      <w:rPr>
        <w:rFonts w:hint="default" w:ascii="Wingdings 2" w:hAnsi="Wingdings 2"/>
      </w:rPr>
    </w:lvl>
    <w:lvl w:ilvl="4" w:tentative="0">
      <w:start w:val="1"/>
      <w:numFmt w:val="bullet"/>
      <w:lvlText w:val=""/>
      <w:lvlJc w:val="left"/>
      <w:pPr>
        <w:tabs>
          <w:tab w:val="left" w:pos="3600"/>
        </w:tabs>
        <w:ind w:left="3600" w:hanging="360"/>
      </w:pPr>
      <w:rPr>
        <w:rFonts w:hint="default" w:ascii="Wingdings 2" w:hAnsi="Wingdings 2"/>
      </w:rPr>
    </w:lvl>
    <w:lvl w:ilvl="5" w:tentative="0">
      <w:start w:val="1"/>
      <w:numFmt w:val="bullet"/>
      <w:lvlText w:val=""/>
      <w:lvlJc w:val="left"/>
      <w:pPr>
        <w:tabs>
          <w:tab w:val="left" w:pos="4320"/>
        </w:tabs>
        <w:ind w:left="4320" w:hanging="360"/>
      </w:pPr>
      <w:rPr>
        <w:rFonts w:hint="default" w:ascii="Wingdings 2" w:hAnsi="Wingdings 2"/>
      </w:rPr>
    </w:lvl>
    <w:lvl w:ilvl="6" w:tentative="0">
      <w:start w:val="1"/>
      <w:numFmt w:val="bullet"/>
      <w:lvlText w:val=""/>
      <w:lvlJc w:val="left"/>
      <w:pPr>
        <w:tabs>
          <w:tab w:val="left" w:pos="5040"/>
        </w:tabs>
        <w:ind w:left="5040" w:hanging="360"/>
      </w:pPr>
      <w:rPr>
        <w:rFonts w:hint="default" w:ascii="Wingdings 2" w:hAnsi="Wingdings 2"/>
      </w:rPr>
    </w:lvl>
    <w:lvl w:ilvl="7" w:tentative="0">
      <w:start w:val="1"/>
      <w:numFmt w:val="bullet"/>
      <w:lvlText w:val=""/>
      <w:lvlJc w:val="left"/>
      <w:pPr>
        <w:tabs>
          <w:tab w:val="left" w:pos="5760"/>
        </w:tabs>
        <w:ind w:left="5760" w:hanging="360"/>
      </w:pPr>
      <w:rPr>
        <w:rFonts w:hint="default" w:ascii="Wingdings 2" w:hAnsi="Wingdings 2"/>
      </w:rPr>
    </w:lvl>
    <w:lvl w:ilvl="8" w:tentative="0">
      <w:start w:val="1"/>
      <w:numFmt w:val="bullet"/>
      <w:lvlText w:val=""/>
      <w:lvlJc w:val="left"/>
      <w:pPr>
        <w:tabs>
          <w:tab w:val="left" w:pos="6480"/>
        </w:tabs>
        <w:ind w:left="6480" w:hanging="360"/>
      </w:pPr>
      <w:rPr>
        <w:rFonts w:hint="default" w:ascii="Wingdings 2" w:hAnsi="Wingdings 2"/>
      </w:rPr>
    </w:lvl>
  </w:abstractNum>
  <w:abstractNum w:abstractNumId="1">
    <w:nsid w:val="7FCBA957"/>
    <w:multiLevelType w:val="singleLevel"/>
    <w:tmpl w:val="7FCBA957"/>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3A"/>
    <w:rsid w:val="00013DCC"/>
    <w:rsid w:val="00023F2A"/>
    <w:rsid w:val="000251F9"/>
    <w:rsid w:val="000305C1"/>
    <w:rsid w:val="000348D4"/>
    <w:rsid w:val="00046648"/>
    <w:rsid w:val="00047260"/>
    <w:rsid w:val="000578C1"/>
    <w:rsid w:val="00081770"/>
    <w:rsid w:val="0008421C"/>
    <w:rsid w:val="000842CD"/>
    <w:rsid w:val="00091B68"/>
    <w:rsid w:val="000C1C68"/>
    <w:rsid w:val="000D1860"/>
    <w:rsid w:val="0011615C"/>
    <w:rsid w:val="00147471"/>
    <w:rsid w:val="00150DD5"/>
    <w:rsid w:val="00161F9D"/>
    <w:rsid w:val="00175B5B"/>
    <w:rsid w:val="00185529"/>
    <w:rsid w:val="00196BAF"/>
    <w:rsid w:val="001A1542"/>
    <w:rsid w:val="001A158D"/>
    <w:rsid w:val="001B4F63"/>
    <w:rsid w:val="001D08B7"/>
    <w:rsid w:val="001D79F0"/>
    <w:rsid w:val="001E0304"/>
    <w:rsid w:val="001E237A"/>
    <w:rsid w:val="001F23C8"/>
    <w:rsid w:val="001F7BAF"/>
    <w:rsid w:val="002162B4"/>
    <w:rsid w:val="002321CC"/>
    <w:rsid w:val="0023485C"/>
    <w:rsid w:val="002414F0"/>
    <w:rsid w:val="00262B24"/>
    <w:rsid w:val="00264137"/>
    <w:rsid w:val="002857B6"/>
    <w:rsid w:val="00294E91"/>
    <w:rsid w:val="002A664D"/>
    <w:rsid w:val="002A6D66"/>
    <w:rsid w:val="002C3AA3"/>
    <w:rsid w:val="002C3BA9"/>
    <w:rsid w:val="002C5853"/>
    <w:rsid w:val="002C7D23"/>
    <w:rsid w:val="002D3072"/>
    <w:rsid w:val="002F2501"/>
    <w:rsid w:val="002F4198"/>
    <w:rsid w:val="00311482"/>
    <w:rsid w:val="00312B9C"/>
    <w:rsid w:val="00317DF9"/>
    <w:rsid w:val="00333BA5"/>
    <w:rsid w:val="003453CE"/>
    <w:rsid w:val="0035291B"/>
    <w:rsid w:val="00354EE1"/>
    <w:rsid w:val="00365B84"/>
    <w:rsid w:val="0037383F"/>
    <w:rsid w:val="00373EF9"/>
    <w:rsid w:val="00382C2A"/>
    <w:rsid w:val="00383668"/>
    <w:rsid w:val="0038477D"/>
    <w:rsid w:val="00391F78"/>
    <w:rsid w:val="003A0224"/>
    <w:rsid w:val="003B2771"/>
    <w:rsid w:val="003B4829"/>
    <w:rsid w:val="003E208C"/>
    <w:rsid w:val="003E317C"/>
    <w:rsid w:val="003E6DDF"/>
    <w:rsid w:val="003E7E78"/>
    <w:rsid w:val="003F1BFC"/>
    <w:rsid w:val="0041195A"/>
    <w:rsid w:val="00413C98"/>
    <w:rsid w:val="00437097"/>
    <w:rsid w:val="00463329"/>
    <w:rsid w:val="00496363"/>
    <w:rsid w:val="004A35F0"/>
    <w:rsid w:val="004B0E15"/>
    <w:rsid w:val="004B5FEB"/>
    <w:rsid w:val="004C1ACA"/>
    <w:rsid w:val="004C2DC6"/>
    <w:rsid w:val="004E15BF"/>
    <w:rsid w:val="004E4555"/>
    <w:rsid w:val="004E5193"/>
    <w:rsid w:val="004F1369"/>
    <w:rsid w:val="005143E4"/>
    <w:rsid w:val="005173A9"/>
    <w:rsid w:val="00521FA2"/>
    <w:rsid w:val="00534A48"/>
    <w:rsid w:val="00536D83"/>
    <w:rsid w:val="005441B8"/>
    <w:rsid w:val="00547A9A"/>
    <w:rsid w:val="0055660D"/>
    <w:rsid w:val="005600CC"/>
    <w:rsid w:val="00573433"/>
    <w:rsid w:val="005B57CF"/>
    <w:rsid w:val="005D32DB"/>
    <w:rsid w:val="005D3468"/>
    <w:rsid w:val="005E1A33"/>
    <w:rsid w:val="005F0C69"/>
    <w:rsid w:val="005F1925"/>
    <w:rsid w:val="00604241"/>
    <w:rsid w:val="00611455"/>
    <w:rsid w:val="00612E7D"/>
    <w:rsid w:val="00620DC1"/>
    <w:rsid w:val="00626022"/>
    <w:rsid w:val="006261FA"/>
    <w:rsid w:val="00626FF3"/>
    <w:rsid w:val="00642CB5"/>
    <w:rsid w:val="00646CFB"/>
    <w:rsid w:val="006710B3"/>
    <w:rsid w:val="006741C3"/>
    <w:rsid w:val="006A0C42"/>
    <w:rsid w:val="006A240C"/>
    <w:rsid w:val="006B59F3"/>
    <w:rsid w:val="006C31E8"/>
    <w:rsid w:val="006C442A"/>
    <w:rsid w:val="006E4976"/>
    <w:rsid w:val="00716BE9"/>
    <w:rsid w:val="00722928"/>
    <w:rsid w:val="00723889"/>
    <w:rsid w:val="0074745A"/>
    <w:rsid w:val="00752A33"/>
    <w:rsid w:val="007570DD"/>
    <w:rsid w:val="0076650F"/>
    <w:rsid w:val="00793737"/>
    <w:rsid w:val="007A4E60"/>
    <w:rsid w:val="007B42FF"/>
    <w:rsid w:val="007C3712"/>
    <w:rsid w:val="007C7740"/>
    <w:rsid w:val="007F195D"/>
    <w:rsid w:val="007F350F"/>
    <w:rsid w:val="007F5B63"/>
    <w:rsid w:val="00804B41"/>
    <w:rsid w:val="00807168"/>
    <w:rsid w:val="00841740"/>
    <w:rsid w:val="00842395"/>
    <w:rsid w:val="0085605C"/>
    <w:rsid w:val="00862DDC"/>
    <w:rsid w:val="00865C0A"/>
    <w:rsid w:val="00880605"/>
    <w:rsid w:val="00880A6E"/>
    <w:rsid w:val="00893B7E"/>
    <w:rsid w:val="008A788C"/>
    <w:rsid w:val="008B3A82"/>
    <w:rsid w:val="008C550C"/>
    <w:rsid w:val="008C6356"/>
    <w:rsid w:val="008C7F90"/>
    <w:rsid w:val="008D63CE"/>
    <w:rsid w:val="008F2BAA"/>
    <w:rsid w:val="008F63EF"/>
    <w:rsid w:val="00901FD3"/>
    <w:rsid w:val="009148A5"/>
    <w:rsid w:val="0096326D"/>
    <w:rsid w:val="0097262F"/>
    <w:rsid w:val="00974E05"/>
    <w:rsid w:val="00981C3C"/>
    <w:rsid w:val="00996D2A"/>
    <w:rsid w:val="009B4F1E"/>
    <w:rsid w:val="009B556A"/>
    <w:rsid w:val="009E4A90"/>
    <w:rsid w:val="009F43FB"/>
    <w:rsid w:val="00A006D6"/>
    <w:rsid w:val="00A01205"/>
    <w:rsid w:val="00A0420C"/>
    <w:rsid w:val="00A274BC"/>
    <w:rsid w:val="00A35395"/>
    <w:rsid w:val="00A5609A"/>
    <w:rsid w:val="00A74D79"/>
    <w:rsid w:val="00A81387"/>
    <w:rsid w:val="00A95280"/>
    <w:rsid w:val="00AA2A27"/>
    <w:rsid w:val="00AB7F83"/>
    <w:rsid w:val="00AC091F"/>
    <w:rsid w:val="00AC670E"/>
    <w:rsid w:val="00AC6F36"/>
    <w:rsid w:val="00AD3BCE"/>
    <w:rsid w:val="00AF6562"/>
    <w:rsid w:val="00B002CB"/>
    <w:rsid w:val="00B063C3"/>
    <w:rsid w:val="00B12673"/>
    <w:rsid w:val="00B25B4C"/>
    <w:rsid w:val="00B37901"/>
    <w:rsid w:val="00B46D96"/>
    <w:rsid w:val="00B62BDA"/>
    <w:rsid w:val="00B824F4"/>
    <w:rsid w:val="00B91180"/>
    <w:rsid w:val="00BB33BF"/>
    <w:rsid w:val="00BD2C99"/>
    <w:rsid w:val="00BE633B"/>
    <w:rsid w:val="00BF4140"/>
    <w:rsid w:val="00C02719"/>
    <w:rsid w:val="00C031E8"/>
    <w:rsid w:val="00C10B20"/>
    <w:rsid w:val="00C2345F"/>
    <w:rsid w:val="00C4342F"/>
    <w:rsid w:val="00C71F48"/>
    <w:rsid w:val="00C72EA0"/>
    <w:rsid w:val="00C86B21"/>
    <w:rsid w:val="00C9214E"/>
    <w:rsid w:val="00C93CE8"/>
    <w:rsid w:val="00CA4F6C"/>
    <w:rsid w:val="00CA5DF5"/>
    <w:rsid w:val="00CB475B"/>
    <w:rsid w:val="00CD42AF"/>
    <w:rsid w:val="00CE1237"/>
    <w:rsid w:val="00CE41F4"/>
    <w:rsid w:val="00CE62FD"/>
    <w:rsid w:val="00D407F8"/>
    <w:rsid w:val="00D67D24"/>
    <w:rsid w:val="00D703C8"/>
    <w:rsid w:val="00D750C2"/>
    <w:rsid w:val="00D86874"/>
    <w:rsid w:val="00DB4BF4"/>
    <w:rsid w:val="00DE1AD9"/>
    <w:rsid w:val="00DF03AA"/>
    <w:rsid w:val="00DF6092"/>
    <w:rsid w:val="00E07010"/>
    <w:rsid w:val="00E07ADA"/>
    <w:rsid w:val="00E2109A"/>
    <w:rsid w:val="00E2658C"/>
    <w:rsid w:val="00E447C5"/>
    <w:rsid w:val="00E44890"/>
    <w:rsid w:val="00E5633A"/>
    <w:rsid w:val="00E61868"/>
    <w:rsid w:val="00E763E3"/>
    <w:rsid w:val="00E8309A"/>
    <w:rsid w:val="00E87F48"/>
    <w:rsid w:val="00E955A0"/>
    <w:rsid w:val="00EA138F"/>
    <w:rsid w:val="00EB4EEB"/>
    <w:rsid w:val="00ED43C1"/>
    <w:rsid w:val="00ED7158"/>
    <w:rsid w:val="00EE294A"/>
    <w:rsid w:val="00EF067B"/>
    <w:rsid w:val="00EF3A70"/>
    <w:rsid w:val="00F23ED0"/>
    <w:rsid w:val="00F473CB"/>
    <w:rsid w:val="00F51112"/>
    <w:rsid w:val="00F518C1"/>
    <w:rsid w:val="00F53B32"/>
    <w:rsid w:val="00F7023D"/>
    <w:rsid w:val="00F712B2"/>
    <w:rsid w:val="00F8756D"/>
    <w:rsid w:val="00FA7A5C"/>
    <w:rsid w:val="00FB4B3D"/>
    <w:rsid w:val="00FC78DD"/>
    <w:rsid w:val="00FE0575"/>
    <w:rsid w:val="00FE2DE2"/>
    <w:rsid w:val="00FE648A"/>
    <w:rsid w:val="00FE76B3"/>
    <w:rsid w:val="0DD149CA"/>
    <w:rsid w:val="0F6247B2"/>
    <w:rsid w:val="12DF087A"/>
    <w:rsid w:val="13E34168"/>
    <w:rsid w:val="1A7C2FC3"/>
    <w:rsid w:val="31F10D1B"/>
    <w:rsid w:val="3C342F09"/>
    <w:rsid w:val="4E2E397E"/>
    <w:rsid w:val="54385C94"/>
    <w:rsid w:val="569253F1"/>
    <w:rsid w:val="60EC702D"/>
    <w:rsid w:val="6BFA1453"/>
    <w:rsid w:val="72B44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line="460" w:lineRule="exact"/>
      <w:jc w:val="both"/>
    </w:pPr>
    <w:rPr>
      <w:rFonts w:ascii="Calibri" w:hAnsi="Calibri" w:eastAsia="宋体" w:cs="Times New Roman"/>
      <w:kern w:val="2"/>
      <w:sz w:val="21"/>
      <w:szCs w:val="22"/>
      <w:lang w:val="en-US" w:eastAsia="zh-CN" w:bidi="ar-SA"/>
    </w:rPr>
  </w:style>
  <w:style w:type="paragraph" w:styleId="2">
    <w:name w:val="heading 3"/>
    <w:basedOn w:val="1"/>
    <w:next w:val="1"/>
    <w:link w:val="14"/>
    <w:qFormat/>
    <w:uiPriority w:val="0"/>
    <w:pPr>
      <w:keepNext/>
      <w:keepLines/>
      <w:spacing w:before="260" w:after="260" w:line="416" w:lineRule="atLeast"/>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nhideWhenUsed/>
    <w:uiPriority w:val="99"/>
    <w:pPr>
      <w:jc w:val="left"/>
    </w:pPr>
  </w:style>
  <w:style w:type="paragraph" w:styleId="4">
    <w:name w:val="Balloon Text"/>
    <w:basedOn w:val="1"/>
    <w:link w:val="15"/>
    <w:semiHidden/>
    <w:unhideWhenUsed/>
    <w:qFormat/>
    <w:uiPriority w:val="99"/>
    <w:pPr>
      <w:spacing w:line="240" w:lineRule="auto"/>
    </w:pPr>
    <w:rPr>
      <w:sz w:val="18"/>
      <w:szCs w:val="18"/>
    </w:rPr>
  </w:style>
  <w:style w:type="paragraph" w:styleId="5">
    <w:name w:val="footer"/>
    <w:basedOn w:val="1"/>
    <w:link w:val="17"/>
    <w:semiHidden/>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annotation subject"/>
    <w:basedOn w:val="3"/>
    <w:next w:val="3"/>
    <w:link w:val="19"/>
    <w:semiHidden/>
    <w:unhideWhenUsed/>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annotation reference"/>
    <w:basedOn w:val="11"/>
    <w:semiHidden/>
    <w:unhideWhenUsed/>
    <w:qFormat/>
    <w:uiPriority w:val="99"/>
    <w:rPr>
      <w:sz w:val="21"/>
      <w:szCs w:val="21"/>
    </w:rPr>
  </w:style>
  <w:style w:type="character" w:customStyle="1" w:styleId="14">
    <w:name w:val="标题 3 字符"/>
    <w:basedOn w:val="11"/>
    <w:link w:val="2"/>
    <w:uiPriority w:val="0"/>
    <w:rPr>
      <w:rFonts w:ascii="Calibri" w:hAnsi="Calibri" w:eastAsia="宋体" w:cs="Times New Roman"/>
      <w:b/>
      <w:bCs/>
      <w:sz w:val="32"/>
      <w:szCs w:val="32"/>
    </w:rPr>
  </w:style>
  <w:style w:type="character" w:customStyle="1" w:styleId="15">
    <w:name w:val="批注框文本 字符"/>
    <w:basedOn w:val="11"/>
    <w:link w:val="4"/>
    <w:semiHidden/>
    <w:uiPriority w:val="99"/>
    <w:rPr>
      <w:rFonts w:ascii="Calibri" w:hAnsi="Calibri" w:eastAsia="宋体" w:cs="Times New Roman"/>
      <w:sz w:val="18"/>
      <w:szCs w:val="18"/>
    </w:rPr>
  </w:style>
  <w:style w:type="character" w:customStyle="1" w:styleId="16">
    <w:name w:val="页眉 字符"/>
    <w:basedOn w:val="11"/>
    <w:link w:val="6"/>
    <w:semiHidden/>
    <w:uiPriority w:val="99"/>
    <w:rPr>
      <w:rFonts w:ascii="Calibri" w:hAnsi="Calibri" w:eastAsia="宋体" w:cs="Times New Roman"/>
      <w:sz w:val="18"/>
      <w:szCs w:val="18"/>
    </w:rPr>
  </w:style>
  <w:style w:type="character" w:customStyle="1" w:styleId="17">
    <w:name w:val="页脚 字符"/>
    <w:basedOn w:val="11"/>
    <w:link w:val="5"/>
    <w:semiHidden/>
    <w:uiPriority w:val="99"/>
    <w:rPr>
      <w:rFonts w:ascii="Calibri" w:hAnsi="Calibri" w:eastAsia="宋体" w:cs="Times New Roman"/>
      <w:sz w:val="18"/>
      <w:szCs w:val="18"/>
    </w:rPr>
  </w:style>
  <w:style w:type="character" w:customStyle="1" w:styleId="18">
    <w:name w:val="批注文字 字符"/>
    <w:basedOn w:val="11"/>
    <w:link w:val="3"/>
    <w:semiHidden/>
    <w:uiPriority w:val="99"/>
    <w:rPr>
      <w:rFonts w:ascii="Calibri" w:hAnsi="Calibri" w:eastAsia="宋体" w:cs="Times New Roman"/>
    </w:rPr>
  </w:style>
  <w:style w:type="character" w:customStyle="1" w:styleId="19">
    <w:name w:val="批注主题 字符"/>
    <w:basedOn w:val="18"/>
    <w:link w:val="8"/>
    <w:semiHidden/>
    <w:qFormat/>
    <w:uiPriority w:val="99"/>
    <w:rPr>
      <w:rFonts w:ascii="Calibri" w:hAnsi="Calibri" w:eastAsia="宋体" w:cs="Times New Roman"/>
      <w:b/>
      <w:bCs/>
    </w:rPr>
  </w:style>
  <w:style w:type="paragraph" w:customStyle="1" w:styleId="20">
    <w:name w:val="修订1"/>
    <w:hidden/>
    <w:semiHidden/>
    <w:qFormat/>
    <w:uiPriority w:val="99"/>
    <w:rPr>
      <w:rFonts w:ascii="Calibri" w:hAnsi="Calibri" w:eastAsia="宋体" w:cs="Times New Roman"/>
      <w:kern w:val="2"/>
      <w:sz w:val="21"/>
      <w:szCs w:val="22"/>
      <w:lang w:val="en-US" w:eastAsia="zh-CN" w:bidi="ar-SA"/>
    </w:rPr>
  </w:style>
  <w:style w:type="paragraph" w:customStyle="1" w:styleId="21">
    <w:name w:val="修订2"/>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2DE430-C827-42B4-B299-3BDF4BF5FBA7}">
  <ds:schemaRefs/>
</ds:datastoreItem>
</file>

<file path=docProps/app.xml><?xml version="1.0" encoding="utf-8"?>
<Properties xmlns="http://schemas.openxmlformats.org/officeDocument/2006/extended-properties" xmlns:vt="http://schemas.openxmlformats.org/officeDocument/2006/docPropsVTypes">
  <Template>Normal</Template>
  <Pages>3</Pages>
  <Words>333</Words>
  <Characters>1902</Characters>
  <Lines>15</Lines>
  <Paragraphs>4</Paragraphs>
  <TotalTime>16</TotalTime>
  <ScaleCrop>false</ScaleCrop>
  <LinksUpToDate>false</LinksUpToDate>
  <CharactersWithSpaces>2231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2019-11-10T11:07:00Z</dcterms:created>
  <dc:creator>dell</dc:creator>
  <cp:lastModifiedBy>赵晓菲</cp:lastModifiedBy>
  <cp:lastPrinted>2013-05-31T02:19:00Z</cp:lastPrinted>
  <dcterms:modified xsi:type="dcterms:W3CDTF">2021-08-02T07:33:00Z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